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36" w:type="dxa"/>
        <w:tblLayout w:type="fixed"/>
        <w:tblLook w:val="01E0" w:firstRow="1" w:lastRow="1" w:firstColumn="1" w:lastColumn="1" w:noHBand="0" w:noVBand="0"/>
      </w:tblPr>
      <w:tblGrid>
        <w:gridCol w:w="1103"/>
        <w:gridCol w:w="6533"/>
      </w:tblGrid>
      <w:tr w:rsidR="00D53D31" w:rsidRPr="007B490E" w:rsidTr="00AD56FB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0363" w:rsidRPr="007B490E" w:rsidRDefault="00A94148" w:rsidP="0075323A">
            <w:pPr>
              <w:jc w:val="center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7B490E">
              <w:rPr>
                <w:b/>
                <w:noProof/>
                <w:color w:val="000000" w:themeColor="text1"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22860</wp:posOffset>
                  </wp:positionV>
                  <wp:extent cx="659765" cy="800100"/>
                  <wp:effectExtent l="0" t="0" r="0" b="0"/>
                  <wp:wrapSquare wrapText="bothSides"/>
                  <wp:docPr id="20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3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7B490E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840363" w:rsidRPr="007B490E" w:rsidRDefault="00840363" w:rsidP="0075323A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z w:val="18"/>
                <w:szCs w:val="18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i w:val="0"/>
                <w:color w:val="000000" w:themeColor="text1"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840363" w:rsidRPr="007B490E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jc w:val="right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840363" w:rsidRPr="007B490E" w:rsidRDefault="00840363" w:rsidP="0075323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ЗАТВЕРДЖУЮ</w:t>
            </w:r>
          </w:p>
          <w:p w:rsidR="00840363" w:rsidRPr="007B490E" w:rsidRDefault="00512CD3" w:rsidP="0075323A">
            <w:pPr>
              <w:ind w:firstLine="2835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Декан</w:t>
            </w:r>
          </w:p>
          <w:p w:rsidR="00840363" w:rsidRPr="007B490E" w:rsidRDefault="00840363" w:rsidP="0075323A">
            <w:pPr>
              <w:ind w:firstLine="2835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</w:p>
          <w:p w:rsidR="00840363" w:rsidRPr="007B490E" w:rsidRDefault="00BB368A" w:rsidP="0075323A">
            <w:pPr>
              <w:ind w:firstLine="2835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____________  доц. А.</w:t>
            </w:r>
            <w:r w:rsidR="00840363"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 xml:space="preserve">В. </w:t>
            </w:r>
            <w:proofErr w:type="spellStart"/>
            <w:r w:rsidR="00840363"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Стасишин</w:t>
            </w:r>
            <w:proofErr w:type="spellEnd"/>
          </w:p>
          <w:p w:rsidR="00840363" w:rsidRPr="007B490E" w:rsidRDefault="00840363" w:rsidP="0075323A">
            <w:pPr>
              <w:ind w:firstLine="2835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(підпис)</w:t>
            </w:r>
          </w:p>
          <w:p w:rsidR="00840363" w:rsidRPr="007B490E" w:rsidRDefault="00AC3813" w:rsidP="0075323A">
            <w:pPr>
              <w:ind w:firstLine="2835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>“___”  ___________  2020</w:t>
            </w:r>
            <w:r w:rsidR="00840363" w:rsidRPr="007B490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uk-UA"/>
              </w:rPr>
              <w:t xml:space="preserve"> р.</w:t>
            </w: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BA25FC" w:rsidP="00753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Моніторинг інформаційних технологій </w:t>
            </w:r>
            <w:r w:rsidR="00840363"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галузь знань:</w:t>
            </w:r>
            <w:r w:rsidR="00E41C31"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05 “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Соціальні та поведінкові науки</w:t>
            </w:r>
            <w:r w:rsidR="00E41C31"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”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спеціальність: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7B490E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спеціалізація: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__ Інформаційні технології в бізнесі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840363" w:rsidRPr="007B490E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освітній ступінь: </w:t>
            </w:r>
            <w:r w:rsidRPr="007B49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бакалавр</w:t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  <w:r w:rsidRPr="007B49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</w:pPr>
            <w:r w:rsidRPr="007B490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color w:val="000000" w:themeColor="text1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840363" w:rsidP="007532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40363" w:rsidRPr="007B490E" w:rsidRDefault="00AC3813" w:rsidP="008B1E1B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49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ЛЬВІВ 2020</w:t>
            </w:r>
          </w:p>
        </w:tc>
      </w:tr>
      <w:tr w:rsidR="006D613D" w:rsidRPr="007B490E" w:rsidTr="00AD56FB">
        <w:trPr>
          <w:cantSplit/>
          <w:trHeight w:val="22"/>
        </w:trPr>
        <w:tc>
          <w:tcPr>
            <w:tcW w:w="1103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40363" w:rsidRPr="007B490E" w:rsidRDefault="00C80A5D" w:rsidP="0075323A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7B490E">
              <w:rPr>
                <w:b/>
                <w:color w:val="000000" w:themeColor="text1"/>
                <w:sz w:val="28"/>
                <w:szCs w:val="28"/>
                <w:lang w:val="uk-UA"/>
              </w:rPr>
              <w:t>Кафедра</w:t>
            </w:r>
            <w:r w:rsidR="0045702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цифрової економіки та бізнес-</w:t>
            </w:r>
            <w:r w:rsidR="000C5BC9" w:rsidRPr="007B490E">
              <w:rPr>
                <w:b/>
                <w:color w:val="000000" w:themeColor="text1"/>
                <w:sz w:val="28"/>
                <w:szCs w:val="28"/>
                <w:lang w:val="uk-UA"/>
              </w:rPr>
              <w:t>аналітики</w:t>
            </w:r>
          </w:p>
        </w:tc>
        <w:tc>
          <w:tcPr>
            <w:tcW w:w="653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7B490E" w:rsidRDefault="00840363" w:rsidP="0075323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9335BC" w:rsidRPr="007B490E" w:rsidRDefault="009335BC" w:rsidP="004C34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9335BC" w:rsidRPr="007B490E" w:rsidRDefault="009335BC" w:rsidP="004C346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ectPr w:rsidR="009335BC" w:rsidRPr="007B490E" w:rsidSect="005C2A8C">
          <w:footerReference w:type="even" r:id="rId9"/>
          <w:footerReference w:type="default" r:id="rId10"/>
          <w:pgSz w:w="8391" w:h="11906" w:code="11"/>
          <w:pgMar w:top="567" w:right="340" w:bottom="567" w:left="624" w:header="709" w:footer="709" w:gutter="0"/>
          <w:cols w:space="60"/>
          <w:noEndnote/>
          <w:titlePg/>
          <w:docGrid w:linePitch="272"/>
        </w:sectPr>
      </w:pPr>
    </w:p>
    <w:p w:rsidR="00512CD3" w:rsidRPr="007B490E" w:rsidRDefault="00512CD3" w:rsidP="00512C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lastRenderedPageBreak/>
        <w:t>Програма навчальної дисципліни “</w:t>
      </w:r>
      <w:r w:rsidR="00BA25FC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Моніторинг інформаційних технологій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”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для студентів, які навчаються за галуззю знань 05 “Соціальні та поведінкові науки” спеціальністю 051 “Економіка” спеціалізацією “Інформаційні техно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  <w:t>логії в бізнесі” освітнього ступеня бакалавр.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AC381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“___” _____________ 2020</w: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року – 8 с.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Розробник: </w:t>
      </w:r>
      <w:proofErr w:type="spellStart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Мищишин</w:t>
      </w:r>
      <w:proofErr w:type="spellEnd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О.Я.., доцент кафедри </w:t>
      </w:r>
      <w:r w:rsidR="008900C4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цифрової економіки та бізнес-аналітики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к.ф.-</w:t>
      </w:r>
      <w:proofErr w:type="spellStart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м.н</w:t>
      </w:r>
      <w:proofErr w:type="spellEnd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., доцент.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Розглянуто та ухвалено на засіданні кафедри </w:t>
      </w:r>
      <w:r w:rsidR="008900C4" w:rsidRPr="008900C4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цифрової економіки та бізнес-аналітики</w:t>
      </w: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 </w:t>
      </w:r>
    </w:p>
    <w:p w:rsidR="00512CD3" w:rsidRPr="007B490E" w:rsidRDefault="00AC381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Протокол № 6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від  21 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січня</w: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20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20</w: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Завідувач кафедри    _____________        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ab/>
        <w:t xml:space="preserve">Шевчук І.Б.  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u w:val="single"/>
          <w:lang w:val="uk-UA"/>
        </w:rPr>
        <w:tab/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  <w:t xml:space="preserve">                                                                    (підпис)                               (прізвище, ініціали)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Розглянуто та ухвалено Вченою радою факультету управління фінансами та бізнесу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Протокол </w:t>
      </w:r>
      <w:r w:rsidR="00AC381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№ __ від “23” січня 2020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р.</w:t>
      </w: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512CD3" w:rsidRPr="007B490E" w:rsidRDefault="00512CD3" w:rsidP="00512CD3">
      <w:pPr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© </w:t>
      </w:r>
      <w:proofErr w:type="spellStart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Мищишин</w:t>
      </w:r>
      <w:proofErr w:type="spellEnd"/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О., 20</w:t>
      </w:r>
      <w:r w:rsidR="00AC381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20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рік</w:t>
      </w:r>
    </w:p>
    <w:p w:rsidR="00512CD3" w:rsidRPr="007B490E" w:rsidRDefault="00AB3667" w:rsidP="00512CD3">
      <w:pPr>
        <w:jc w:val="right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324485</wp:posOffset>
                </wp:positionV>
                <wp:extent cx="733425" cy="257175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ABF60" id="Rectangle 45" o:spid="_x0000_s1026" style="position:absolute;margin-left:133.8pt;margin-top:25.55pt;width:5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" stroked="f"/>
            </w:pict>
          </mc:Fallback>
        </mc:AlternateConten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© ЛНУ імені Івана Франка, 20</w:t>
      </w:r>
      <w:r w:rsidR="00AC381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20</w:t>
      </w:r>
      <w:r w:rsidR="00512CD3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рік</w:t>
      </w:r>
    </w:p>
    <w:p w:rsidR="00512CD3" w:rsidRPr="000A390C" w:rsidRDefault="00512CD3" w:rsidP="00512CD3">
      <w:pPr>
        <w:pageBreakBefore/>
        <w:shd w:val="clear" w:color="auto" w:fill="FFFFFF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lastRenderedPageBreak/>
        <w:t>1. ПОЯСНЮВАЛЬНА ЗАПИСКА</w:t>
      </w:r>
      <w:r w:rsid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.</w:t>
      </w:r>
    </w:p>
    <w:p w:rsidR="00512CD3" w:rsidRPr="007B490E" w:rsidRDefault="00512CD3" w:rsidP="00512CD3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2"/>
          <w:szCs w:val="22"/>
          <w:lang w:val="uk-UA"/>
        </w:rPr>
      </w:pPr>
    </w:p>
    <w:p w:rsidR="00512CD3" w:rsidRPr="007B490E" w:rsidRDefault="00512CD3" w:rsidP="00957163">
      <w:pPr>
        <w:shd w:val="clear" w:color="auto" w:fill="FFFFFF"/>
        <w:ind w:firstLine="432"/>
        <w:jc w:val="both"/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В навчальній дисципліні </w:t>
      </w:r>
      <w:r w:rsidR="000E17CC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«Моніторинг інформаційних технологій»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 розглядаються основи дослідження </w:t>
      </w:r>
      <w:r w:rsidR="00D41C84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ефективності 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складних </w:t>
      </w:r>
      <w:r w:rsidR="000E17CC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інформаційних продуктів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. Особливу увагу </w:t>
      </w:r>
      <w:proofErr w:type="spellStart"/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звернуто</w:t>
      </w:r>
      <w:proofErr w:type="spellEnd"/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 на забезпечення оптимізації </w:t>
      </w:r>
      <w:r w:rsidR="000E17CC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розв’язку задач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 в умовах виникнення ризиків, здійснення розрахунку </w:t>
      </w:r>
      <w:r w:rsidR="000E17CC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виникнення</w:t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 xml:space="preserve"> непередба</w:t>
      </w:r>
      <w:r w:rsidR="00D41C84"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softHyphen/>
      </w:r>
      <w:r w:rsidRPr="007B490E">
        <w:rPr>
          <w:rFonts w:ascii="Times New Roman" w:hAnsi="Times New Roman" w:cs="Times New Roman"/>
          <w:bCs/>
          <w:iCs/>
          <w:color w:val="000000" w:themeColor="text1"/>
          <w:sz w:val="22"/>
          <w:szCs w:val="22"/>
          <w:lang w:val="uk-UA"/>
        </w:rPr>
        <w:t>чених ситуацій в складних умовах.</w:t>
      </w:r>
    </w:p>
    <w:p w:rsidR="00512CD3" w:rsidRPr="007B490E" w:rsidRDefault="00512CD3" w:rsidP="00512CD3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color w:val="000000" w:themeColor="text1"/>
          <w:spacing w:val="-2"/>
          <w:sz w:val="22"/>
          <w:szCs w:val="22"/>
          <w:lang w:val="uk-UA"/>
        </w:rPr>
      </w:pPr>
    </w:p>
    <w:p w:rsidR="00512CD3" w:rsidRPr="007B490E" w:rsidRDefault="00512CD3" w:rsidP="00512CD3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Предмет навчальної дисципліни</w:t>
      </w:r>
    </w:p>
    <w:p w:rsidR="00512CD3" w:rsidRPr="007B490E" w:rsidRDefault="001E3BEF" w:rsidP="00512CD3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Предметом навчальної дисципліни</w:t>
      </w:r>
      <w:r w:rsidR="00457021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 ІТ-процеси, пов’язані з управлінням інформаційними технологіями, зокрема, з ІТ-моніторингом, а також методи та інструменти ефективного їх здійснення</w:t>
      </w:r>
      <w:r w:rsidR="007B490E"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:rsidR="00512CD3" w:rsidRPr="007B490E" w:rsidRDefault="00512CD3" w:rsidP="00512CD3">
      <w:pPr>
        <w:shd w:val="clear" w:color="auto" w:fill="FFFFFF"/>
        <w:ind w:firstLine="254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uk-UA"/>
        </w:rPr>
      </w:pPr>
    </w:p>
    <w:p w:rsidR="001E3BEF" w:rsidRPr="007B490E" w:rsidRDefault="001E3BEF" w:rsidP="00D53D3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Мета навчальної дисципліни</w:t>
      </w:r>
    </w:p>
    <w:p w:rsidR="001E3BEF" w:rsidRPr="007B490E" w:rsidRDefault="001E3BEF" w:rsidP="001E3BEF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B490E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Метою навчальної дисципліни</w:t>
      </w:r>
      <w:r w:rsidR="00457021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 </w:t>
      </w:r>
      <w:r w:rsidRPr="007B490E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 формування у студентів необхідних теоретичних знань і практичних навичок з моніторингу інформаційних технологій, опанування відповідного інструментарію для успішного їх здійснення. А також, надбання студентами широких та інтегрованих знань в області сучасних інформаційних технологій, а саме з моделювання, проектування, розробки, впровадження та супроводу інформаційних управляючих систем та технологій, систем управління та моніторингу ІТ-проектами, програмного забезпечення захисту інформації, систем комп’ютерного проектування та дизайну.</w:t>
      </w:r>
    </w:p>
    <w:p w:rsidR="001E3BEF" w:rsidRPr="007B490E" w:rsidRDefault="001E3BEF" w:rsidP="001E3BEF">
      <w:pPr>
        <w:jc w:val="center"/>
        <w:rPr>
          <w:b/>
          <w:color w:val="000000" w:themeColor="text1"/>
          <w:lang w:val="uk-UA"/>
        </w:rPr>
      </w:pPr>
    </w:p>
    <w:p w:rsidR="001E3BEF" w:rsidRPr="007B490E" w:rsidRDefault="001E3BEF" w:rsidP="001E3BEF">
      <w:pPr>
        <w:jc w:val="center"/>
        <w:rPr>
          <w:b/>
          <w:color w:val="000000" w:themeColor="text1"/>
          <w:lang w:val="uk-UA"/>
        </w:rPr>
      </w:pPr>
      <w:r w:rsidRPr="003051EB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Основні завдання</w:t>
      </w:r>
    </w:p>
    <w:p w:rsidR="001E3BEF" w:rsidRPr="007B490E" w:rsidRDefault="001E3BEF" w:rsidP="001E3BEF">
      <w:pPr>
        <w:ind w:firstLine="360"/>
        <w:rPr>
          <w:color w:val="000000" w:themeColor="text1"/>
          <w:lang w:val="uk-UA"/>
        </w:rPr>
      </w:pPr>
      <w:r w:rsidRPr="003051EB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 xml:space="preserve">Завданнями навчальної </w:t>
      </w:r>
      <w:proofErr w:type="spellStart"/>
      <w:r w:rsidRPr="003051EB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дисципліни</w:t>
      </w: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є</w:t>
      </w:r>
      <w:proofErr w:type="spellEnd"/>
      <w:r w:rsidRPr="007B490E">
        <w:rPr>
          <w:color w:val="000000" w:themeColor="text1"/>
          <w:lang w:val="uk-UA"/>
        </w:rPr>
        <w:t>:</w:t>
      </w:r>
    </w:p>
    <w:p w:rsidR="001E3BEF" w:rsidRPr="007B490E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організувати та проводити моніторинг інформаційних технологій на будь-якому об’єкті</w:t>
      </w:r>
      <w:r w:rsidRPr="007B490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; </w:t>
      </w:r>
    </w:p>
    <w:p w:rsidR="001E3BEF" w:rsidRPr="003051EB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створити систему моніторингу ІТ, націлену на отримання інформації, необхідної для ефективного управління інформаційною інфраструктурою об’єкта; </w:t>
      </w:r>
    </w:p>
    <w:p w:rsidR="001E3BEF" w:rsidRPr="003051EB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виявляти резерви підвищення ефективності використання інформаційних технологій у виробничо-господарської діяльності будь-яких суб’єктів господарювання; 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3051EB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мобілізувати потенціал інформаційних технологій на підвищення конкурентоспроможності</w:t>
      </w: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суб’єктів господарювання. 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набуття студентами навичок з побудови систем моніторингу різних типів та їх алгоритмів; 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формування їх інформаційної бази, здійснення аналізу, оцінювання та діагностики стану об’єктів моніторингу; 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оцінювання якості та ефективності моніторингу, формування інформаційної бази для прийняття управлінських рішень. </w:t>
      </w:r>
    </w:p>
    <w:p w:rsidR="001E3BEF" w:rsidRPr="007E7E61" w:rsidRDefault="001E3BEF" w:rsidP="007E7E61">
      <w:pPr>
        <w:pStyle w:val="ac"/>
        <w:autoSpaceDE/>
        <w:autoSpaceDN/>
        <w:adjustRightInd/>
        <w:ind w:left="993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1E3BEF" w:rsidRPr="007E7E61" w:rsidRDefault="001E3BEF" w:rsidP="007E7E61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Місце навчальної дисципліни в структурно-логічній схемі підготовки бакалаврів</w:t>
      </w:r>
    </w:p>
    <w:p w:rsidR="001E3BEF" w:rsidRPr="007E7E61" w:rsidRDefault="001E3BEF" w:rsidP="001E3BEF">
      <w:pPr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Навчальна дисципліна взаємопов’язана із такими дисциплінами як “Інформатика”, „Вступ до фаху”, „Алгоритмізація та програмування”, “Об’єктно-орієнтоване програмування”, “Технології проектування та адміністрування БД і СД”, “Технології Інтернет”, “Web-дизайн та Web-програмування”, “Управління проектами інформатизації”, “Архітектура ІТ-підприємства”.</w:t>
      </w:r>
    </w:p>
    <w:p w:rsidR="001E3BEF" w:rsidRPr="007B490E" w:rsidRDefault="001E3BEF" w:rsidP="001E3BEF">
      <w:pPr>
        <w:jc w:val="center"/>
        <w:rPr>
          <w:b/>
          <w:color w:val="000000" w:themeColor="text1"/>
          <w:lang w:val="uk-UA"/>
        </w:rPr>
      </w:pPr>
    </w:p>
    <w:p w:rsidR="001E3BEF" w:rsidRPr="007E7E61" w:rsidRDefault="001E3BEF" w:rsidP="001E3BEF">
      <w:pPr>
        <w:jc w:val="center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Вимоги до знань і умінь:</w:t>
      </w:r>
    </w:p>
    <w:p w:rsidR="001E3BEF" w:rsidRPr="007E7E61" w:rsidRDefault="001E3BEF" w:rsidP="001E3BEF">
      <w:pPr>
        <w:ind w:right="85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Вивчення навчальної дисципліни “Моніторинг інформаційних технологій” передбачає досягнення такого кваліфікаційного рівня підготовки бакалавра, за якого він повинен:</w:t>
      </w:r>
    </w:p>
    <w:p w:rsidR="001E3BEF" w:rsidRPr="007E7E61" w:rsidRDefault="001E3BEF" w:rsidP="001E3BEF">
      <w:pPr>
        <w:ind w:right="85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а) знати:</w:t>
      </w:r>
    </w:p>
    <w:p w:rsidR="001E3BEF" w:rsidRPr="007E7E61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7E7E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основні принципи моніторингу ІТ й загальні вимоги до нього; </w:t>
      </w:r>
    </w:p>
    <w:p w:rsidR="001E3BEF" w:rsidRPr="00FB4EA5" w:rsidRDefault="00FB4EA5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методологічні аспекти й завда</w:t>
      </w:r>
      <w:r w:rsidR="001E3BEF"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ння моніторингу й ІТ- на різних об’єктах;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які задачі стоять перед системою моніторингу ІТ на підприємстві;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основні засоби моніторингу ІТ;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особливості та структура процесу моніторингу ІТ;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етапи (фази) проведення моніторингу ІТ і основні заходи, здійснювані на кожному з них;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структуру системи управління ІТ і місце системи моніторингу в ній;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нормативно-правове й науково-методичне забезпечення процесів моніторингу й аудиту інформаційних технологій;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міжнародні й національні стандарти управління інформаційною інфраструктурою;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теоретичні засади визначення моделі зрілості організації щодо управління інформаційними технологіями;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систему збалансованих ІТ-показників (</w:t>
      </w:r>
      <w:proofErr w:type="spellStart"/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balancedscorecard</w:t>
      </w:r>
      <w:proofErr w:type="spellEnd"/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), як інструмент оцінювання впливу ІТ на бізнес;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основні (детальні) задачі управління інформаційними технологіями в організації;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принципи, моделі та основні етапи проведення аудиту інформаційних технологій в організації; 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порядок здійснення процедури аудиту та критерії оцінки процесів управління ІТ в організації; </w:t>
      </w:r>
    </w:p>
    <w:p w:rsidR="001E3BEF" w:rsidRPr="007B490E" w:rsidRDefault="001E3BEF" w:rsidP="001E3BEF">
      <w:pPr>
        <w:pStyle w:val="ac"/>
        <w:ind w:left="1429" w:right="85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E3BEF" w:rsidRPr="007B490E" w:rsidRDefault="001E3BEF" w:rsidP="001E3BEF">
      <w:pPr>
        <w:ind w:right="859" w:firstLine="709"/>
        <w:jc w:val="both"/>
        <w:rPr>
          <w:b/>
          <w:i/>
          <w:color w:val="000000" w:themeColor="text1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б) уміти: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виконувати розрахунки для визначення собівартості програмного продукту;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оцінювати економічний ефект від розробки програмного продукту;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оцінювати ефективність інвестиційних проектів при залученні фінансових ресурсів для розробки певного проекту;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здійснювати аналіз беззбитковості проекту;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використовувати системний підхід при проектуванні структури організації по виробництву програмних продуктів;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економічно обґрунтувати рішення, щодо організації виробництва, організації праці, організації планування виробництва програмних продуктів;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розрахувати основні показники для характеристики виробничих процесів;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здійснювати експертну оцінку трудомісткості розробки програмного забезпечення;</w:t>
      </w:r>
    </w:p>
    <w:p w:rsidR="001E3BEF" w:rsidRPr="00FB4EA5" w:rsidRDefault="001E3BEF" w:rsidP="00E329A9">
      <w:pPr>
        <w:pStyle w:val="ac"/>
        <w:numPr>
          <w:ilvl w:val="0"/>
          <w:numId w:val="1"/>
        </w:numPr>
        <w:autoSpaceDE/>
        <w:autoSpaceDN/>
        <w:adjustRightInd/>
        <w:ind w:left="1710" w:right="859" w:hanging="810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FB4EA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розробити план тактичного маркетингу та збуту ІТ-продукції.</w:t>
      </w:r>
    </w:p>
    <w:p w:rsidR="001E3BEF" w:rsidRPr="007B490E" w:rsidRDefault="001E3BEF" w:rsidP="001E3BEF">
      <w:pPr>
        <w:ind w:firstLine="709"/>
        <w:jc w:val="both"/>
        <w:rPr>
          <w:color w:val="000000" w:themeColor="text1"/>
          <w:lang w:val="uk-UA"/>
        </w:rPr>
      </w:pPr>
    </w:p>
    <w:p w:rsidR="001E3BEF" w:rsidRPr="007B490E" w:rsidRDefault="001E3BEF" w:rsidP="001E3BEF">
      <w:pPr>
        <w:tabs>
          <w:tab w:val="left" w:pos="709"/>
        </w:tabs>
        <w:spacing w:before="120" w:after="240" w:line="240" w:lineRule="atLeast"/>
        <w:jc w:val="both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  <w:r w:rsidRPr="00957163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ab/>
        <w:t>Опанування навчальною дисципліною повинно забезпечувати необхідний рівень сформованості вмінь: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3991"/>
      </w:tblGrid>
      <w:tr w:rsidR="001E3BEF" w:rsidRPr="007B490E" w:rsidTr="00FE1037">
        <w:tc>
          <w:tcPr>
            <w:tcW w:w="2700" w:type="dxa"/>
            <w:vAlign w:val="center"/>
          </w:tcPr>
          <w:p w:rsidR="001E3BEF" w:rsidRPr="007B490E" w:rsidRDefault="001E3BEF" w:rsidP="00FE103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9571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5239" w:type="dxa"/>
            <w:vAlign w:val="center"/>
          </w:tcPr>
          <w:p w:rsidR="001E3BEF" w:rsidRPr="007B490E" w:rsidRDefault="001E3BEF" w:rsidP="00FE103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B490E">
              <w:rPr>
                <w:b/>
                <w:color w:val="000000" w:themeColor="text1"/>
                <w:lang w:val="uk-UA"/>
              </w:rPr>
              <w:t>Зміст критерію рівня сформованості вміння</w:t>
            </w:r>
          </w:p>
        </w:tc>
      </w:tr>
      <w:tr w:rsidR="001E3BEF" w:rsidRPr="007B490E" w:rsidTr="00FE1037">
        <w:tc>
          <w:tcPr>
            <w:tcW w:w="2700" w:type="dxa"/>
          </w:tcPr>
          <w:p w:rsidR="001E3BEF" w:rsidRPr="007B490E" w:rsidRDefault="001E3BEF" w:rsidP="0095716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571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5239" w:type="dxa"/>
          </w:tcPr>
          <w:p w:rsidR="001E3BEF" w:rsidRPr="00957163" w:rsidRDefault="001E3BEF" w:rsidP="00FE103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95716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1E3BEF" w:rsidRPr="007B490E" w:rsidTr="00FE1037">
        <w:tc>
          <w:tcPr>
            <w:tcW w:w="2700" w:type="dxa"/>
          </w:tcPr>
          <w:p w:rsidR="001E3BEF" w:rsidRPr="007B490E" w:rsidRDefault="001E3BEF" w:rsidP="0095716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571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5239" w:type="dxa"/>
          </w:tcPr>
          <w:p w:rsidR="001E3BEF" w:rsidRPr="00E31F2C" w:rsidRDefault="001E3BEF" w:rsidP="00FE103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E31F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1E3BEF" w:rsidRPr="007B490E" w:rsidTr="00FE1037">
        <w:tc>
          <w:tcPr>
            <w:tcW w:w="2700" w:type="dxa"/>
          </w:tcPr>
          <w:p w:rsidR="001E3BEF" w:rsidRPr="007B490E" w:rsidRDefault="001E3BEF" w:rsidP="00957163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957163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5239" w:type="dxa"/>
          </w:tcPr>
          <w:p w:rsidR="001E3BEF" w:rsidRPr="00E31F2C" w:rsidRDefault="001E3BEF" w:rsidP="00FE1037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E31F2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1E3BEF" w:rsidRPr="007B490E" w:rsidRDefault="001E3BEF" w:rsidP="001E3BEF">
      <w:pPr>
        <w:tabs>
          <w:tab w:val="left" w:pos="709"/>
        </w:tabs>
        <w:spacing w:line="240" w:lineRule="atLeast"/>
        <w:jc w:val="both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</w:p>
    <w:p w:rsidR="001E3BEF" w:rsidRPr="007B490E" w:rsidRDefault="001E3BEF" w:rsidP="001E3BEF">
      <w:pPr>
        <w:tabs>
          <w:tab w:val="left" w:pos="709"/>
        </w:tabs>
        <w:spacing w:line="240" w:lineRule="atLeast"/>
        <w:jc w:val="both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  <w:r w:rsidRPr="00E31F2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У зв’язку із змінами у сфері програмних продуктів необхідно використовувати нові версії програмних продуктів та новостворені пакети прикладних програм.</w:t>
      </w:r>
    </w:p>
    <w:p w:rsidR="001E3BEF" w:rsidRPr="007B490E" w:rsidRDefault="001E3BEF" w:rsidP="001E3BEF">
      <w:pPr>
        <w:tabs>
          <w:tab w:val="left" w:pos="709"/>
        </w:tabs>
        <w:spacing w:line="240" w:lineRule="atLeast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  <w:r w:rsidRPr="00E31F2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Навчальна програма складена на </w:t>
      </w:r>
      <w:r w:rsidRPr="00E31F2C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3 кредитів</w:t>
      </w:r>
      <w:r w:rsidRPr="007B490E">
        <w:rPr>
          <w:b/>
          <w:color w:val="000000" w:themeColor="text1"/>
          <w:lang w:val="uk-UA"/>
        </w:rPr>
        <w:t>.</w:t>
      </w:r>
      <w:r w:rsidRPr="007B490E">
        <w:rPr>
          <w:color w:val="000000" w:themeColor="text1"/>
          <w:lang w:val="uk-UA"/>
        </w:rPr>
        <w:tab/>
      </w:r>
    </w:p>
    <w:p w:rsidR="001E3BEF" w:rsidRPr="007B490E" w:rsidRDefault="001E3BEF" w:rsidP="001E3BEF">
      <w:pPr>
        <w:tabs>
          <w:tab w:val="left" w:pos="709"/>
        </w:tabs>
        <w:spacing w:line="240" w:lineRule="atLeast"/>
        <w:rPr>
          <w:color w:val="000000" w:themeColor="text1"/>
          <w:lang w:val="uk-UA"/>
        </w:rPr>
      </w:pPr>
      <w:r w:rsidRPr="007B490E">
        <w:rPr>
          <w:color w:val="000000" w:themeColor="text1"/>
          <w:lang w:val="uk-UA"/>
        </w:rPr>
        <w:tab/>
      </w:r>
      <w:r w:rsidRPr="000A390C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Форми контролю</w:t>
      </w:r>
      <w:r w:rsidRPr="007B490E">
        <w:rPr>
          <w:color w:val="000000" w:themeColor="text1"/>
          <w:lang w:val="uk-UA"/>
        </w:rPr>
        <w:t xml:space="preserve"> – </w:t>
      </w: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проміжний модульний контроль, залік.</w:t>
      </w:r>
    </w:p>
    <w:p w:rsidR="001E3BEF" w:rsidRPr="007B490E" w:rsidRDefault="001E3BEF" w:rsidP="001E3BEF">
      <w:pPr>
        <w:tabs>
          <w:tab w:val="left" w:pos="0"/>
          <w:tab w:val="left" w:pos="2070"/>
        </w:tabs>
        <w:spacing w:line="240" w:lineRule="atLeast"/>
        <w:ind w:left="708" w:hanging="708"/>
        <w:jc w:val="center"/>
        <w:rPr>
          <w:b/>
          <w:bCs/>
          <w:i/>
          <w:color w:val="000000" w:themeColor="text1"/>
          <w:lang w:val="uk-UA"/>
        </w:rPr>
      </w:pPr>
    </w:p>
    <w:p w:rsidR="001E3BEF" w:rsidRPr="000A390C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2</w:t>
      </w:r>
      <w:r w:rsidRPr="000A390C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.</w:t>
      </w:r>
      <w:r w:rsidRP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ТЕМАТИЧНИЙ ПЛАН НАВЧАЛЬНОЇ ДИСЦИПЛІНИ</w:t>
      </w:r>
    </w:p>
    <w:p w:rsidR="001E3BEF" w:rsidRPr="000A390C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“МОНІТОРИНГ ІНФОРМАЦІЙНИХ ТЕХНОЛОГІЙ</w:t>
      </w:r>
      <w:r w:rsidRPr="000A390C">
        <w:rPr>
          <w:rFonts w:ascii="Times New Roman" w:hAnsi="Times New Roman" w:cs="Times New Roman"/>
          <w:b/>
          <w:color w:val="000000" w:themeColor="text1"/>
          <w:sz w:val="22"/>
          <w:szCs w:val="22"/>
          <w:lang w:val="uk-UA"/>
        </w:rPr>
        <w:t>”</w:t>
      </w:r>
    </w:p>
    <w:p w:rsidR="001E3BEF" w:rsidRPr="007B490E" w:rsidRDefault="001E3BEF" w:rsidP="001E3BEF">
      <w:pPr>
        <w:tabs>
          <w:tab w:val="left" w:pos="0"/>
        </w:tabs>
        <w:spacing w:line="240" w:lineRule="atLeast"/>
        <w:rPr>
          <w:b/>
          <w:color w:val="000000" w:themeColor="text1"/>
          <w:lang w:val="uk-UA"/>
        </w:rPr>
      </w:pPr>
    </w:p>
    <w:p w:rsidR="001E3BEF" w:rsidRPr="000A390C" w:rsidRDefault="001E3BEF" w:rsidP="001E3BEF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Зміст навчальної дисципліни за темами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Тема 1. </w:t>
      </w:r>
      <w:proofErr w:type="spellStart"/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Систематологія</w:t>
      </w:r>
      <w:proofErr w:type="spellEnd"/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моніторингу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Тема 2. Механізм моніторингу. 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 3. Побудова, функціонування та оцінка моніторингу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 4. Соціально-економічний моніторинг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 5. Спеціальні системи моніторингу</w:t>
      </w:r>
    </w:p>
    <w:p w:rsidR="001E3BEF" w:rsidRPr="000A390C" w:rsidRDefault="001E3BEF" w:rsidP="001E3BEF">
      <w:pPr>
        <w:ind w:left="360" w:right="139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0A390C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Тема 6. Моніторинг інформаційних технологій</w:t>
      </w:r>
    </w:p>
    <w:p w:rsidR="001E3BEF" w:rsidRPr="000A390C" w:rsidRDefault="001E3BEF" w:rsidP="001E3BEF">
      <w:pP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p w:rsidR="001E3BEF" w:rsidRPr="00B763A7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</w:pPr>
      <w:r w:rsidRPr="00B763A7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 xml:space="preserve">3.ЗМІСТ НАВЧАЛЬНОЇ ДИСЦИПЛІНИ </w:t>
      </w:r>
    </w:p>
    <w:p w:rsidR="001E3BEF" w:rsidRPr="00B763A7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</w:pPr>
      <w:r w:rsidRPr="00B763A7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  <w:lang w:val="uk-UA"/>
        </w:rPr>
        <w:t>“ МОНІТОРИНГ ІНФОРМАЦІЙНИХ ТЕХНОЛОГІЙ”</w:t>
      </w:r>
    </w:p>
    <w:p w:rsidR="001E3BEF" w:rsidRPr="007B490E" w:rsidRDefault="001E3BEF" w:rsidP="001E3BEF">
      <w:pPr>
        <w:tabs>
          <w:tab w:val="left" w:pos="-270"/>
          <w:tab w:val="left" w:pos="0"/>
        </w:tabs>
        <w:spacing w:line="240" w:lineRule="atLeast"/>
        <w:jc w:val="center"/>
        <w:rPr>
          <w:b/>
          <w:bCs/>
          <w:i/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B763A7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Тема 1. </w:t>
      </w:r>
      <w:proofErr w:type="spellStart"/>
      <w:r w:rsidRPr="00B763A7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Систематологія</w:t>
      </w:r>
      <w:proofErr w:type="spellEnd"/>
      <w:r w:rsidRPr="00B763A7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 моніторингу.</w:t>
      </w:r>
      <w:r w:rsidR="0045702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 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B763A7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Генезис моніторингу.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B763A7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Концеп</w:t>
      </w:r>
      <w:r w:rsidR="00CF636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B763A7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туальні засади моніторингу. Класифікація систем моніторингу. Функції, задачі та принципи організації моніторингу. Інформаційно-аналітичні технології моніторингу.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E5309D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Тема 2. Механізм моніторингу.</w:t>
      </w:r>
      <w:r w:rsidR="0045702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 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Модель механічного моніторингу. Діагностика в системі моніторингу. Стратегічна діагностика стану об’єкта. Генерування стратегій об’єкта. Ранжування стратегій об’єкта. Діагностика ефективності стратегій </w:t>
      </w:r>
      <w:r w:rsidR="00E5309D"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об’єкта</w:t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 Діагностика внутрі</w:t>
      </w:r>
      <w:r w:rsid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шнього стану об’єкта. Індикатори у системі моніторингу.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b/>
          <w:color w:val="000000" w:themeColor="text1"/>
          <w:lang w:val="uk-UA"/>
        </w:rPr>
      </w:pPr>
      <w:r w:rsidRPr="00E5309D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Тема 3. Побудова, функціонування та оцінка моніторингу</w:t>
      </w:r>
      <w:r w:rsidRPr="007B490E">
        <w:rPr>
          <w:b/>
          <w:color w:val="000000" w:themeColor="text1"/>
          <w:lang w:val="uk-UA"/>
        </w:rPr>
        <w:t>.</w:t>
      </w:r>
      <w:r w:rsidR="00457021">
        <w:rPr>
          <w:b/>
          <w:color w:val="000000" w:themeColor="text1"/>
          <w:lang w:val="uk-UA"/>
        </w:rPr>
        <w:t xml:space="preserve"> 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Технологія побудови системи моніторингу. Управлінський моні</w:t>
      </w:r>
      <w:r w:rsid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торинг. Забезпечення процесу функціонування моніторингу. Оціню</w:t>
      </w:r>
      <w:r w:rsid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вання яко</w:t>
      </w:r>
      <w:r w:rsid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сті та ефективності моніторингу</w:t>
      </w:r>
      <w:r w:rsidRPr="00E5309D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4213A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Тема 4. Соціально-економічний моніторинг. </w:t>
      </w:r>
    </w:p>
    <w:p w:rsidR="001E3BEF" w:rsidRPr="004213A1" w:rsidRDefault="001E3BEF" w:rsidP="001E3BEF">
      <w:pPr>
        <w:ind w:left="360" w:right="229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Управлінський моні</w:t>
      </w:r>
      <w:r w:rsid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торинг соціально-економічної системи. Моніторинг тенденцій розвитку економіки. Моніторинг структури економіки. Індикативний моніторинг структурного розвитку економіки. Моніторинг соціально-економічного розвитку.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</w:pPr>
      <w:r w:rsidRPr="004213A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Тема 5. Спеціальні системи моніторингу.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Моніторинг державної ці</w:t>
      </w:r>
      <w:r w:rsid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льової програми. Моніторинг науково-технічного потенціалу.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Бан</w:t>
      </w:r>
      <w:r w:rsid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ківський моніторинг. Моніторинг фінансових ринків.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</w:p>
    <w:p w:rsidR="00457021" w:rsidRDefault="001E3BEF" w:rsidP="001E3BEF">
      <w:pPr>
        <w:ind w:left="360" w:right="229"/>
        <w:jc w:val="both"/>
        <w:rPr>
          <w:b/>
          <w:color w:val="000000" w:themeColor="text1"/>
          <w:lang w:val="uk-UA"/>
        </w:rPr>
      </w:pPr>
      <w:r w:rsidRPr="004213A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 xml:space="preserve">Тема 6. Моніторинг інформаційних </w:t>
      </w:r>
      <w:r w:rsidR="004213A1" w:rsidRPr="004213A1">
        <w:rPr>
          <w:rFonts w:ascii="Times New Roman" w:hAnsi="Times New Roman" w:cs="Times New Roman"/>
          <w:b/>
          <w:color w:val="000000" w:themeColor="text1"/>
          <w:spacing w:val="-1"/>
          <w:sz w:val="22"/>
          <w:szCs w:val="22"/>
          <w:lang w:val="uk-UA"/>
        </w:rPr>
        <w:t>технологій</w:t>
      </w:r>
      <w:r w:rsidRPr="007B490E">
        <w:rPr>
          <w:b/>
          <w:color w:val="000000" w:themeColor="text1"/>
          <w:lang w:val="uk-UA"/>
        </w:rPr>
        <w:t>.</w:t>
      </w:r>
    </w:p>
    <w:p w:rsidR="001E3BEF" w:rsidRPr="007B490E" w:rsidRDefault="001E3BEF" w:rsidP="001E3BEF">
      <w:pPr>
        <w:ind w:left="360" w:right="229"/>
        <w:jc w:val="both"/>
        <w:rPr>
          <w:color w:val="000000" w:themeColor="text1"/>
          <w:lang w:val="uk-UA"/>
        </w:rPr>
      </w:pP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Моніторинг у сис</w:t>
      </w:r>
      <w:r w:rsid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softHyphen/>
      </w:r>
      <w:r w:rsidRPr="004213A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темі управління ІТ. Вимого до системи моніторингу ІТ. Технологія проведення моніторингу ІТ. Засоби підтримки процесу моніторингу ІТ.</w:t>
      </w:r>
    </w:p>
    <w:p w:rsidR="001E3BEF" w:rsidRPr="007B490E" w:rsidRDefault="001E3BEF" w:rsidP="001E3BEF">
      <w:pPr>
        <w:ind w:left="360" w:right="1399"/>
        <w:jc w:val="both"/>
        <w:rPr>
          <w:color w:val="000000" w:themeColor="text1"/>
          <w:lang w:val="uk-UA"/>
        </w:rPr>
      </w:pPr>
    </w:p>
    <w:p w:rsidR="001E3BEF" w:rsidRPr="00436282" w:rsidRDefault="001E3BEF" w:rsidP="00436282">
      <w:pPr>
        <w:tabs>
          <w:tab w:val="left" w:pos="-270"/>
          <w:tab w:val="left" w:pos="0"/>
        </w:tabs>
        <w:spacing w:line="240" w:lineRule="atLeast"/>
        <w:jc w:val="center"/>
        <w:rPr>
          <w:rFonts w:ascii="Times New Roman" w:hAnsi="Times New Roman" w:cs="Times New Roman"/>
          <w:b/>
          <w:bCs/>
          <w:i/>
          <w:caps/>
          <w:color w:val="000000" w:themeColor="text1"/>
          <w:sz w:val="22"/>
          <w:szCs w:val="22"/>
          <w:lang w:val="uk-UA"/>
        </w:rPr>
      </w:pPr>
      <w:bookmarkStart w:id="1" w:name="_Toc493066223"/>
      <w:r w:rsidRPr="00436282">
        <w:rPr>
          <w:rFonts w:ascii="Times New Roman" w:hAnsi="Times New Roman" w:cs="Times New Roman"/>
          <w:b/>
          <w:bCs/>
          <w:i/>
          <w:caps/>
          <w:color w:val="000000" w:themeColor="text1"/>
          <w:sz w:val="22"/>
          <w:szCs w:val="22"/>
          <w:lang w:val="uk-UA"/>
        </w:rPr>
        <w:t>5.Список рекомендованої літератури</w:t>
      </w:r>
      <w:bookmarkEnd w:id="1"/>
    </w:p>
    <w:p w:rsidR="001E3BEF" w:rsidRPr="007B490E" w:rsidRDefault="001E3BEF" w:rsidP="001E3BEF">
      <w:pPr>
        <w:shd w:val="clear" w:color="auto" w:fill="FFFFFF"/>
        <w:rPr>
          <w:b/>
          <w:color w:val="000000" w:themeColor="text1"/>
          <w:lang w:val="uk-UA"/>
        </w:rPr>
      </w:pP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За ред. В.Ф.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Ситника</w:t>
      </w:r>
      <w:r w:rsid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Основи інформаційних систем  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К.: КНЕУ, 2001.-420с.</w:t>
      </w:r>
      <w:r w:rsidRPr="00436282">
        <w:rPr>
          <w:rFonts w:ascii="inherit" w:hAnsi="inherit"/>
          <w:color w:val="000000" w:themeColor="text1"/>
          <w:sz w:val="25"/>
          <w:szCs w:val="25"/>
          <w:lang w:val="uk-UA"/>
        </w:rPr>
        <w:t>уклад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. Троян С.О. Інформаційні системи Умань, 2012,- 125 с-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Томашевський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В.М. Моделювання систем К.: Видавнича група BHV. 2005.-352 с.</w:t>
      </w:r>
    </w:p>
    <w:p w:rsidR="001E3BEF" w:rsidRPr="00436282" w:rsidRDefault="00436282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Катренко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А.В.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Системний аналіз об’єктів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та процесів комп’ютеризації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Ль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вів: Новий світ, 2003.-424 с.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12</w:t>
      </w:r>
    </w:p>
    <w:p w:rsidR="001E3BEF" w:rsidRPr="00436282" w:rsidRDefault="00436282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Рамський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Ю.С.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Вивчення інформаційно- пошукових систем мережі інт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ернет 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  К.: НПУ ім. М.П. Драгоманова, 2004. – 59 с.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Руденко В.Д. Бази даних в інформаційних системах  К.: Фенікс, 2010,- 235 с.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Балик Н.Р. Бази даних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MySQL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Тернопіль: Навчальна книга – Богдан, 2010.- 158 с.</w:t>
      </w:r>
    </w:p>
    <w:p w:rsidR="001E3BEF" w:rsidRPr="00436282" w:rsidRDefault="00436282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Рамський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Ю.С. </w:t>
      </w:r>
      <w:r w:rsidR="001E3BEF"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Проектування й опрацювання баз даних Тернопіль: Навчальна книга— Богдан, 2005.- 115 с.</w:t>
      </w:r>
    </w:p>
    <w:p w:rsidR="001E3BEF" w:rsidRPr="00436282" w:rsidRDefault="001E3BEF" w:rsidP="00457021">
      <w:pPr>
        <w:numPr>
          <w:ilvl w:val="0"/>
          <w:numId w:val="2"/>
        </w:numPr>
        <w:shd w:val="clear" w:color="auto" w:fill="FFFFFF"/>
        <w:autoSpaceDE/>
        <w:autoSpaceDN/>
        <w:adjustRightInd/>
        <w:ind w:left="312" w:hanging="357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Institute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(2000), “A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Guidetothe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Body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Knowledge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Institute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Standards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Committee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”,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Institute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availableat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http://www.cs.bilkent.edu.tr/</w:t>
      </w:r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~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cagatay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/cs413/PMBOK.pdf. (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Accessed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10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Apr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2018). 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Mizhnarodna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orhanizatsiia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zi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standartyzatsii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ISO (2012), “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International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Standard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for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ISO 21500: 2012”,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International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Organization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for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Standardization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ISO,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availableat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: https://www.iso.org/. (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Accessed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10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Apr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2018). 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Bushueva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S.D. (2009),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Rukovodstvo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po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upravleniju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innovacionnymi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proektami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i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programmami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[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Guide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to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the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managemen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to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finnovative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projects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and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programs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]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Nauk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Svіt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Kyiv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Ukraine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</w:t>
      </w:r>
    </w:p>
    <w:p w:rsidR="001E3BEF" w:rsidRPr="00436282" w:rsidRDefault="001E3BEF" w:rsidP="00E329A9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Biliaiev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S. S. (2016), “ Project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Approachatan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Enterprise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: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Essenceand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Specific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Characteristics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”,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Derzhavatarehiony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Seriia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: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Ekonomika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ta</w:t>
      </w:r>
      <w:proofErr w:type="spellEnd"/>
      <w:r w:rsidR="00457021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pidpryiemnytstvo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vol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3, </w:t>
      </w:r>
      <w:proofErr w:type="spellStart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pp</w:t>
      </w:r>
      <w:proofErr w:type="spellEnd"/>
      <w:r w:rsidRPr="00436282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. 30–34. </w:t>
      </w:r>
    </w:p>
    <w:p w:rsidR="001E3BEF" w:rsidRPr="00436282" w:rsidRDefault="001E3BEF" w:rsidP="00436282">
      <w:pPr>
        <w:widowControl/>
        <w:shd w:val="clear" w:color="auto" w:fill="FFFFFF"/>
        <w:autoSpaceDE/>
        <w:autoSpaceDN/>
        <w:adjustRightInd/>
        <w:ind w:left="316"/>
        <w:jc w:val="both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</w:p>
    <w:sectPr w:rsidR="001E3BEF" w:rsidRPr="00436282" w:rsidSect="005C2A8C"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BD" w:rsidRDefault="009271BD">
      <w:r>
        <w:separator/>
      </w:r>
    </w:p>
  </w:endnote>
  <w:endnote w:type="continuationSeparator" w:id="0">
    <w:p w:rsidR="009271BD" w:rsidRDefault="0092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0" w:rsidRDefault="009A2664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D20" w:rsidRPr="006D613D" w:rsidRDefault="009A2664" w:rsidP="00B34D4F">
    <w:pPr>
      <w:pStyle w:val="a4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6D613D">
      <w:rPr>
        <w:rStyle w:val="a5"/>
        <w:rFonts w:ascii="Times New Roman" w:hAnsi="Times New Roman" w:cs="Times New Roman"/>
      </w:rPr>
      <w:fldChar w:fldCharType="begin"/>
    </w:r>
    <w:r w:rsidR="00F25D20" w:rsidRPr="006D613D">
      <w:rPr>
        <w:rStyle w:val="a5"/>
        <w:rFonts w:ascii="Times New Roman" w:hAnsi="Times New Roman" w:cs="Times New Roman"/>
      </w:rPr>
      <w:instrText xml:space="preserve">PAGE  </w:instrText>
    </w:r>
    <w:r w:rsidRPr="006D613D">
      <w:rPr>
        <w:rStyle w:val="a5"/>
        <w:rFonts w:ascii="Times New Roman" w:hAnsi="Times New Roman" w:cs="Times New Roman"/>
      </w:rPr>
      <w:fldChar w:fldCharType="separate"/>
    </w:r>
    <w:r w:rsidR="00551064">
      <w:rPr>
        <w:rStyle w:val="a5"/>
        <w:rFonts w:ascii="Times New Roman" w:hAnsi="Times New Roman" w:cs="Times New Roman"/>
        <w:noProof/>
      </w:rPr>
      <w:t>8</w:t>
    </w:r>
    <w:r w:rsidRPr="006D613D">
      <w:rPr>
        <w:rStyle w:val="a5"/>
        <w:rFonts w:ascii="Times New Roman" w:hAnsi="Times New Roman" w:cs="Times New Roman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BD" w:rsidRDefault="009271BD">
      <w:r>
        <w:separator/>
      </w:r>
    </w:p>
  </w:footnote>
  <w:footnote w:type="continuationSeparator" w:id="0">
    <w:p w:rsidR="009271BD" w:rsidRDefault="0092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0E2F"/>
    <w:multiLevelType w:val="hybridMultilevel"/>
    <w:tmpl w:val="CA465396"/>
    <w:lvl w:ilvl="0" w:tplc="67F0F716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5DF787D"/>
    <w:multiLevelType w:val="multilevel"/>
    <w:tmpl w:val="5D447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2E"/>
    <w:rsid w:val="00007853"/>
    <w:rsid w:val="00015B64"/>
    <w:rsid w:val="0001658C"/>
    <w:rsid w:val="00020611"/>
    <w:rsid w:val="000210CD"/>
    <w:rsid w:val="00033755"/>
    <w:rsid w:val="00074601"/>
    <w:rsid w:val="00074B70"/>
    <w:rsid w:val="00080051"/>
    <w:rsid w:val="00094C93"/>
    <w:rsid w:val="00097001"/>
    <w:rsid w:val="000A20B3"/>
    <w:rsid w:val="000A2D98"/>
    <w:rsid w:val="000A390C"/>
    <w:rsid w:val="000A3EDA"/>
    <w:rsid w:val="000A4E61"/>
    <w:rsid w:val="000A5B15"/>
    <w:rsid w:val="000A721C"/>
    <w:rsid w:val="000B0FFB"/>
    <w:rsid w:val="000B33EA"/>
    <w:rsid w:val="000C0945"/>
    <w:rsid w:val="000C5BC9"/>
    <w:rsid w:val="000D13B3"/>
    <w:rsid w:val="000D3BD5"/>
    <w:rsid w:val="000D6C25"/>
    <w:rsid w:val="000D7CE8"/>
    <w:rsid w:val="000E05C3"/>
    <w:rsid w:val="000E10DC"/>
    <w:rsid w:val="000E17CC"/>
    <w:rsid w:val="000F03BF"/>
    <w:rsid w:val="001015EB"/>
    <w:rsid w:val="00101D94"/>
    <w:rsid w:val="00106C7C"/>
    <w:rsid w:val="00111FBD"/>
    <w:rsid w:val="001145D3"/>
    <w:rsid w:val="001274BC"/>
    <w:rsid w:val="00132860"/>
    <w:rsid w:val="00137840"/>
    <w:rsid w:val="001553F8"/>
    <w:rsid w:val="00160FA4"/>
    <w:rsid w:val="00174A4B"/>
    <w:rsid w:val="001854A8"/>
    <w:rsid w:val="001874A0"/>
    <w:rsid w:val="00190AF8"/>
    <w:rsid w:val="001911A5"/>
    <w:rsid w:val="001923E3"/>
    <w:rsid w:val="0019695A"/>
    <w:rsid w:val="001A4F47"/>
    <w:rsid w:val="001A5C63"/>
    <w:rsid w:val="001A60A2"/>
    <w:rsid w:val="001B2D56"/>
    <w:rsid w:val="001C2FB8"/>
    <w:rsid w:val="001E3BEF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D705B"/>
    <w:rsid w:val="002E4097"/>
    <w:rsid w:val="002F78A8"/>
    <w:rsid w:val="003051EB"/>
    <w:rsid w:val="003067AE"/>
    <w:rsid w:val="00325AD5"/>
    <w:rsid w:val="003263D1"/>
    <w:rsid w:val="00330F09"/>
    <w:rsid w:val="003313AC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A471C"/>
    <w:rsid w:val="003C125A"/>
    <w:rsid w:val="003C190D"/>
    <w:rsid w:val="003D6F05"/>
    <w:rsid w:val="003E48A0"/>
    <w:rsid w:val="003E4C79"/>
    <w:rsid w:val="003F1869"/>
    <w:rsid w:val="00401ED0"/>
    <w:rsid w:val="00402C6C"/>
    <w:rsid w:val="00406D48"/>
    <w:rsid w:val="004213A1"/>
    <w:rsid w:val="00421CE3"/>
    <w:rsid w:val="00426152"/>
    <w:rsid w:val="00431719"/>
    <w:rsid w:val="0043597F"/>
    <w:rsid w:val="00435D1F"/>
    <w:rsid w:val="00436282"/>
    <w:rsid w:val="004362A6"/>
    <w:rsid w:val="00445AE2"/>
    <w:rsid w:val="00452E19"/>
    <w:rsid w:val="00457021"/>
    <w:rsid w:val="00464118"/>
    <w:rsid w:val="004723CF"/>
    <w:rsid w:val="00472D1E"/>
    <w:rsid w:val="00482EAB"/>
    <w:rsid w:val="00483E52"/>
    <w:rsid w:val="00485959"/>
    <w:rsid w:val="004A4D7A"/>
    <w:rsid w:val="004B5C0D"/>
    <w:rsid w:val="004B673D"/>
    <w:rsid w:val="004C3460"/>
    <w:rsid w:val="004E3741"/>
    <w:rsid w:val="004F6547"/>
    <w:rsid w:val="00503E6E"/>
    <w:rsid w:val="00512CD3"/>
    <w:rsid w:val="0051378E"/>
    <w:rsid w:val="00535718"/>
    <w:rsid w:val="00543101"/>
    <w:rsid w:val="00544B41"/>
    <w:rsid w:val="00547132"/>
    <w:rsid w:val="00551064"/>
    <w:rsid w:val="0055710A"/>
    <w:rsid w:val="00580D29"/>
    <w:rsid w:val="00586621"/>
    <w:rsid w:val="00596FB0"/>
    <w:rsid w:val="005A6C6B"/>
    <w:rsid w:val="005B1A59"/>
    <w:rsid w:val="005B6A4C"/>
    <w:rsid w:val="005B6E78"/>
    <w:rsid w:val="005C2A8C"/>
    <w:rsid w:val="005C4B29"/>
    <w:rsid w:val="005C645F"/>
    <w:rsid w:val="005D1993"/>
    <w:rsid w:val="005D3802"/>
    <w:rsid w:val="005D67EF"/>
    <w:rsid w:val="005D7673"/>
    <w:rsid w:val="005F7637"/>
    <w:rsid w:val="006007C8"/>
    <w:rsid w:val="00602C29"/>
    <w:rsid w:val="00613F42"/>
    <w:rsid w:val="0062273F"/>
    <w:rsid w:val="00626258"/>
    <w:rsid w:val="00640927"/>
    <w:rsid w:val="00644834"/>
    <w:rsid w:val="006538CE"/>
    <w:rsid w:val="00654692"/>
    <w:rsid w:val="00657C0F"/>
    <w:rsid w:val="00657DD6"/>
    <w:rsid w:val="00673882"/>
    <w:rsid w:val="00684F22"/>
    <w:rsid w:val="006A3B5E"/>
    <w:rsid w:val="006D613D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37BEB"/>
    <w:rsid w:val="0074018D"/>
    <w:rsid w:val="00742582"/>
    <w:rsid w:val="00743D6D"/>
    <w:rsid w:val="007459D5"/>
    <w:rsid w:val="00746CBE"/>
    <w:rsid w:val="00747AE5"/>
    <w:rsid w:val="00753464"/>
    <w:rsid w:val="00754AC2"/>
    <w:rsid w:val="0075586B"/>
    <w:rsid w:val="00762673"/>
    <w:rsid w:val="007714E6"/>
    <w:rsid w:val="0077595C"/>
    <w:rsid w:val="0077608A"/>
    <w:rsid w:val="00777BD3"/>
    <w:rsid w:val="00781170"/>
    <w:rsid w:val="00781DB3"/>
    <w:rsid w:val="007B490E"/>
    <w:rsid w:val="007C47D1"/>
    <w:rsid w:val="007C6610"/>
    <w:rsid w:val="007D169F"/>
    <w:rsid w:val="007E67B6"/>
    <w:rsid w:val="007E7E61"/>
    <w:rsid w:val="007F1605"/>
    <w:rsid w:val="007F489E"/>
    <w:rsid w:val="007F7164"/>
    <w:rsid w:val="008023BC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6D6F"/>
    <w:rsid w:val="008776DA"/>
    <w:rsid w:val="008900C4"/>
    <w:rsid w:val="008923C7"/>
    <w:rsid w:val="00896051"/>
    <w:rsid w:val="008A5A8E"/>
    <w:rsid w:val="008B1E1B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20B5E"/>
    <w:rsid w:val="00920B93"/>
    <w:rsid w:val="00921454"/>
    <w:rsid w:val="009220AD"/>
    <w:rsid w:val="0092398E"/>
    <w:rsid w:val="009271BD"/>
    <w:rsid w:val="00927558"/>
    <w:rsid w:val="009326AE"/>
    <w:rsid w:val="009335BC"/>
    <w:rsid w:val="009348BA"/>
    <w:rsid w:val="0093583E"/>
    <w:rsid w:val="009421CA"/>
    <w:rsid w:val="00944D04"/>
    <w:rsid w:val="009544E8"/>
    <w:rsid w:val="00957163"/>
    <w:rsid w:val="00963F0F"/>
    <w:rsid w:val="009730B6"/>
    <w:rsid w:val="00975F2B"/>
    <w:rsid w:val="00984421"/>
    <w:rsid w:val="00985326"/>
    <w:rsid w:val="0098581A"/>
    <w:rsid w:val="009952F2"/>
    <w:rsid w:val="00995C35"/>
    <w:rsid w:val="009A1FB5"/>
    <w:rsid w:val="009A2664"/>
    <w:rsid w:val="009A70EA"/>
    <w:rsid w:val="009A7784"/>
    <w:rsid w:val="009B3F46"/>
    <w:rsid w:val="009C66A4"/>
    <w:rsid w:val="009C6DA1"/>
    <w:rsid w:val="009E0E8B"/>
    <w:rsid w:val="009F29A7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94148"/>
    <w:rsid w:val="00AA6149"/>
    <w:rsid w:val="00AA6CC5"/>
    <w:rsid w:val="00AB2F65"/>
    <w:rsid w:val="00AB3667"/>
    <w:rsid w:val="00AC3813"/>
    <w:rsid w:val="00AD56FB"/>
    <w:rsid w:val="00AE149D"/>
    <w:rsid w:val="00AF2B56"/>
    <w:rsid w:val="00B16407"/>
    <w:rsid w:val="00B20FA9"/>
    <w:rsid w:val="00B24B12"/>
    <w:rsid w:val="00B2681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2629"/>
    <w:rsid w:val="00B64D13"/>
    <w:rsid w:val="00B73E88"/>
    <w:rsid w:val="00B763A7"/>
    <w:rsid w:val="00B83230"/>
    <w:rsid w:val="00B8366F"/>
    <w:rsid w:val="00B8402F"/>
    <w:rsid w:val="00B94124"/>
    <w:rsid w:val="00BA25FC"/>
    <w:rsid w:val="00BB368A"/>
    <w:rsid w:val="00BC14BE"/>
    <w:rsid w:val="00BD27A2"/>
    <w:rsid w:val="00BD2C2A"/>
    <w:rsid w:val="00BD713A"/>
    <w:rsid w:val="00BF048F"/>
    <w:rsid w:val="00BF14B9"/>
    <w:rsid w:val="00C01C8E"/>
    <w:rsid w:val="00C01CA7"/>
    <w:rsid w:val="00C14121"/>
    <w:rsid w:val="00C150DF"/>
    <w:rsid w:val="00C30397"/>
    <w:rsid w:val="00C3297E"/>
    <w:rsid w:val="00C34C50"/>
    <w:rsid w:val="00C40B7C"/>
    <w:rsid w:val="00C4720E"/>
    <w:rsid w:val="00C579D7"/>
    <w:rsid w:val="00C67708"/>
    <w:rsid w:val="00C67D63"/>
    <w:rsid w:val="00C80A5D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73A4"/>
    <w:rsid w:val="00CF219E"/>
    <w:rsid w:val="00CF6361"/>
    <w:rsid w:val="00CF7BD0"/>
    <w:rsid w:val="00D04B2A"/>
    <w:rsid w:val="00D0527A"/>
    <w:rsid w:val="00D15821"/>
    <w:rsid w:val="00D33CA8"/>
    <w:rsid w:val="00D41C84"/>
    <w:rsid w:val="00D44A24"/>
    <w:rsid w:val="00D50CCC"/>
    <w:rsid w:val="00D53D31"/>
    <w:rsid w:val="00D55F1F"/>
    <w:rsid w:val="00D64B89"/>
    <w:rsid w:val="00D7715F"/>
    <w:rsid w:val="00D8042C"/>
    <w:rsid w:val="00D854D6"/>
    <w:rsid w:val="00D85573"/>
    <w:rsid w:val="00D866CD"/>
    <w:rsid w:val="00D977CE"/>
    <w:rsid w:val="00DA19F6"/>
    <w:rsid w:val="00DA7477"/>
    <w:rsid w:val="00DC59E4"/>
    <w:rsid w:val="00DD1473"/>
    <w:rsid w:val="00DD2E74"/>
    <w:rsid w:val="00DD3E00"/>
    <w:rsid w:val="00DE052E"/>
    <w:rsid w:val="00DE0620"/>
    <w:rsid w:val="00DE4399"/>
    <w:rsid w:val="00DF0849"/>
    <w:rsid w:val="00DF32EE"/>
    <w:rsid w:val="00DF5956"/>
    <w:rsid w:val="00E02750"/>
    <w:rsid w:val="00E02ABC"/>
    <w:rsid w:val="00E049C0"/>
    <w:rsid w:val="00E06F84"/>
    <w:rsid w:val="00E269C0"/>
    <w:rsid w:val="00E31F2C"/>
    <w:rsid w:val="00E329A9"/>
    <w:rsid w:val="00E41C31"/>
    <w:rsid w:val="00E423CC"/>
    <w:rsid w:val="00E46C75"/>
    <w:rsid w:val="00E50297"/>
    <w:rsid w:val="00E5309D"/>
    <w:rsid w:val="00E533FF"/>
    <w:rsid w:val="00E54FBA"/>
    <w:rsid w:val="00E56C6A"/>
    <w:rsid w:val="00E56ED4"/>
    <w:rsid w:val="00E616FE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93928"/>
    <w:rsid w:val="00FA15AA"/>
    <w:rsid w:val="00FA52AB"/>
    <w:rsid w:val="00FA6E9D"/>
    <w:rsid w:val="00FB4EA5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B37EB7-CE5B-4E10-B37A-CDBA9EB7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1">
    <w:name w:val="heading 1"/>
    <w:basedOn w:val="a"/>
    <w:next w:val="a"/>
    <w:link w:val="10"/>
    <w:qFormat/>
    <w:rsid w:val="001E3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и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8B1E1B"/>
    <w:pPr>
      <w:ind w:left="720"/>
      <w:contextualSpacing/>
    </w:pPr>
  </w:style>
  <w:style w:type="paragraph" w:customStyle="1" w:styleId="Default">
    <w:name w:val="Default"/>
    <w:rsid w:val="008B1E1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d">
    <w:name w:val="Body Text Indent"/>
    <w:basedOn w:val="a"/>
    <w:link w:val="ae"/>
    <w:semiHidden/>
    <w:unhideWhenUsed/>
    <w:rsid w:val="00512CD3"/>
    <w:pPr>
      <w:spacing w:after="120"/>
      <w:ind w:left="360"/>
    </w:pPr>
  </w:style>
  <w:style w:type="character" w:customStyle="1" w:styleId="ae">
    <w:name w:val="Основний текст з відступом Знак"/>
    <w:basedOn w:val="a0"/>
    <w:link w:val="ad"/>
    <w:semiHidden/>
    <w:rsid w:val="00512CD3"/>
    <w:rPr>
      <w:rFonts w:ascii="Arial" w:hAnsi="Arial" w:cs="Arial"/>
      <w:lang w:val="ru-RU" w:eastAsia="ru-RU"/>
    </w:rPr>
  </w:style>
  <w:style w:type="character" w:customStyle="1" w:styleId="10">
    <w:name w:val="Заголовок 1 Знак"/>
    <w:basedOn w:val="a0"/>
    <w:link w:val="1"/>
    <w:rsid w:val="001E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2CD8E-DC5C-41C1-9217-DD79DE6E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1138</Words>
  <Characters>9228</Characters>
  <Application>Microsoft Office Word</Application>
  <DocSecurity>0</DocSecurity>
  <Lines>76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ЛДФА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Ірина Шевчук</cp:lastModifiedBy>
  <cp:revision>2</cp:revision>
  <cp:lastPrinted>2018-01-26T07:24:00Z</cp:lastPrinted>
  <dcterms:created xsi:type="dcterms:W3CDTF">2020-12-10T11:34:00Z</dcterms:created>
  <dcterms:modified xsi:type="dcterms:W3CDTF">2020-12-10T11:34:00Z</dcterms:modified>
</cp:coreProperties>
</file>