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1F" w:rsidRDefault="00CF0E1F" w:rsidP="00931492">
      <w:pPr>
        <w:pStyle w:val="Default"/>
      </w:pPr>
    </w:p>
    <w:p w:rsidR="00CF0E1F" w:rsidRPr="00E96B63" w:rsidRDefault="00CF0E1F" w:rsidP="00F06AEC">
      <w:pPr>
        <w:pStyle w:val="Default"/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96B63">
        <w:rPr>
          <w:rFonts w:ascii="Times New Roman" w:hAnsi="Times New Roman" w:cs="Times New Roman"/>
          <w:i/>
          <w:iCs/>
          <w:sz w:val="28"/>
          <w:szCs w:val="28"/>
        </w:rPr>
        <w:t xml:space="preserve"> Секція:  Гроші, фінанси і кредит. </w:t>
      </w:r>
    </w:p>
    <w:p w:rsidR="00CF0E1F" w:rsidRPr="00931492" w:rsidRDefault="00CF0E1F" w:rsidP="00F06AEC">
      <w:pPr>
        <w:pStyle w:val="Defaul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1492">
        <w:rPr>
          <w:rFonts w:ascii="Times New Roman" w:hAnsi="Times New Roman" w:cs="Times New Roman"/>
          <w:b/>
          <w:bCs/>
          <w:sz w:val="28"/>
          <w:szCs w:val="28"/>
        </w:rPr>
        <w:t xml:space="preserve">Татарин Н.Б. </w:t>
      </w:r>
    </w:p>
    <w:p w:rsidR="00CF0E1F" w:rsidRDefault="00CF0E1F" w:rsidP="00F06AEC">
      <w:pPr>
        <w:pStyle w:val="Default"/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доцент</w:t>
      </w:r>
      <w:r w:rsidRPr="00931492">
        <w:rPr>
          <w:rFonts w:ascii="Times New Roman" w:hAnsi="Times New Roman" w:cs="Times New Roman"/>
          <w:i/>
          <w:iCs/>
          <w:sz w:val="28"/>
          <w:szCs w:val="28"/>
        </w:rPr>
        <w:t xml:space="preserve"> кафедри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державних та місцевих фінансів</w:t>
      </w:r>
      <w:r w:rsidRPr="0093149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CF0E1F" w:rsidRPr="00931492" w:rsidRDefault="00CF0E1F" w:rsidP="00F06AEC">
      <w:pPr>
        <w:pStyle w:val="Default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факультету управління фінансами та бізнесу,</w:t>
      </w:r>
    </w:p>
    <w:p w:rsidR="00CF0E1F" w:rsidRPr="00931492" w:rsidRDefault="00CF0E1F" w:rsidP="00F06AEC">
      <w:pPr>
        <w:pStyle w:val="Defaul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Львівський національний</w:t>
      </w:r>
      <w:r w:rsidRPr="009314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університет м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.І.Франка</w:t>
      </w:r>
      <w:r w:rsidRPr="0093149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CF0E1F" w:rsidRPr="00931492" w:rsidRDefault="00CF0E1F" w:rsidP="00F06AEC">
      <w:pPr>
        <w:pStyle w:val="Defaul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1492">
        <w:rPr>
          <w:rFonts w:ascii="Times New Roman" w:hAnsi="Times New Roman" w:cs="Times New Roman"/>
          <w:i/>
          <w:iCs/>
          <w:sz w:val="28"/>
          <w:szCs w:val="28"/>
        </w:rPr>
        <w:t xml:space="preserve">м.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Львів</w:t>
      </w:r>
      <w:r w:rsidRPr="00931492">
        <w:rPr>
          <w:rFonts w:ascii="Times New Roman" w:hAnsi="Times New Roman" w:cs="Times New Roman"/>
          <w:i/>
          <w:iCs/>
          <w:sz w:val="28"/>
          <w:szCs w:val="28"/>
        </w:rPr>
        <w:t xml:space="preserve">, Україна </w:t>
      </w:r>
    </w:p>
    <w:p w:rsidR="00CF0E1F" w:rsidRDefault="00CF0E1F" w:rsidP="00931492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CF0E1F" w:rsidRPr="00931492" w:rsidRDefault="00CF0E1F" w:rsidP="00931492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931492">
        <w:rPr>
          <w:b/>
          <w:bCs/>
          <w:i/>
          <w:iCs/>
          <w:sz w:val="28"/>
          <w:szCs w:val="28"/>
        </w:rPr>
        <w:t xml:space="preserve"> ОСОБЛИВОСТІ </w:t>
      </w:r>
      <w:r>
        <w:rPr>
          <w:b/>
          <w:bCs/>
          <w:i/>
          <w:iCs/>
          <w:sz w:val="28"/>
          <w:szCs w:val="28"/>
        </w:rPr>
        <w:t xml:space="preserve">ТА ПЕРСПЕКТИВИ </w:t>
      </w:r>
      <w:r w:rsidRPr="00931492">
        <w:rPr>
          <w:b/>
          <w:bCs/>
          <w:i/>
          <w:iCs/>
          <w:sz w:val="28"/>
          <w:szCs w:val="28"/>
        </w:rPr>
        <w:t>РОЗВИТКУ В УКРАЇНІ КОРПОРАТИВН</w:t>
      </w:r>
      <w:r>
        <w:rPr>
          <w:b/>
          <w:bCs/>
          <w:i/>
          <w:iCs/>
          <w:sz w:val="28"/>
          <w:szCs w:val="28"/>
        </w:rPr>
        <w:t>ОГО</w:t>
      </w:r>
      <w:r w:rsidRPr="00931492">
        <w:rPr>
          <w:b/>
          <w:bCs/>
          <w:i/>
          <w:iCs/>
          <w:sz w:val="28"/>
          <w:szCs w:val="28"/>
        </w:rPr>
        <w:t xml:space="preserve"> УПРАВЛІННЯ</w:t>
      </w:r>
    </w:p>
    <w:p w:rsidR="00CF0E1F" w:rsidRPr="00282380" w:rsidRDefault="00CF0E1F" w:rsidP="00282380">
      <w:pPr>
        <w:spacing w:line="360" w:lineRule="auto"/>
        <w:ind w:firstLine="705"/>
        <w:jc w:val="both"/>
        <w:rPr>
          <w:sz w:val="28"/>
          <w:szCs w:val="28"/>
        </w:rPr>
      </w:pPr>
      <w:r w:rsidRPr="00931492">
        <w:rPr>
          <w:sz w:val="28"/>
          <w:szCs w:val="28"/>
        </w:rPr>
        <w:t>В Україні в процесі реформування системи господарювання виник значний за масштабами корпоративний сектор, однак його в основному складають звичайні акціонерні товариства. В зв</w:t>
      </w:r>
      <w:r w:rsidRPr="00931492">
        <w:rPr>
          <w:sz w:val="28"/>
          <w:szCs w:val="28"/>
          <w:lang w:val="ru-RU"/>
        </w:rPr>
        <w:t>’</w:t>
      </w:r>
      <w:r w:rsidRPr="00931492">
        <w:rPr>
          <w:sz w:val="28"/>
          <w:szCs w:val="28"/>
        </w:rPr>
        <w:t>язку з цим, актуальним стає питання довіри населення до корпоративних цінних паперів, яка наразі є дуже низькою. Однією з причин недовіри є відсутність досконалої і стабільної законодавчої бази в с</w:t>
      </w:r>
      <w:r>
        <w:rPr>
          <w:sz w:val="28"/>
          <w:szCs w:val="28"/>
        </w:rPr>
        <w:t xml:space="preserve">фері корпоративного управління. </w:t>
      </w:r>
      <w:r w:rsidRPr="00931492">
        <w:rPr>
          <w:sz w:val="28"/>
          <w:szCs w:val="28"/>
        </w:rPr>
        <w:t xml:space="preserve">Питання корпоративного управління та, зокрема, проблеми зіткнення інтересів власників компаній (акціонерів), менеджерів та інших зацікавлених сторін, знаходяться під ретельним наглядом державних інститутів та учасників фондового ринку. </w:t>
      </w:r>
    </w:p>
    <w:p w:rsidR="00CF0E1F" w:rsidRPr="00931492" w:rsidRDefault="00CF0E1F" w:rsidP="00282380">
      <w:pPr>
        <w:spacing w:line="360" w:lineRule="auto"/>
        <w:ind w:firstLine="705"/>
        <w:jc w:val="both"/>
        <w:rPr>
          <w:sz w:val="28"/>
          <w:szCs w:val="28"/>
        </w:rPr>
      </w:pPr>
      <w:r w:rsidRPr="00931492">
        <w:rPr>
          <w:sz w:val="28"/>
          <w:szCs w:val="28"/>
        </w:rPr>
        <w:t>Адже корпорації, корпоративний сектор і корпоративна економіка в цілому – продукт виходу з вільного ринку за рахунок розширення сфери виробничих угод, особливо у зв</w:t>
      </w:r>
      <w:r w:rsidRPr="00931492">
        <w:rPr>
          <w:sz w:val="28"/>
          <w:szCs w:val="28"/>
          <w:lang w:val="ru-RU"/>
        </w:rPr>
        <w:t>’язку з прискореним розвитком фінансової інфраструктури, зокрема фінансово-кредитних установ та ринку цінних паперів</w:t>
      </w:r>
      <w:r>
        <w:rPr>
          <w:sz w:val="28"/>
          <w:szCs w:val="28"/>
          <w:lang w:val="ru-RU"/>
        </w:rPr>
        <w:t xml:space="preserve"> </w:t>
      </w:r>
      <w:r w:rsidRPr="00282380">
        <w:rPr>
          <w:sz w:val="28"/>
          <w:szCs w:val="28"/>
        </w:rPr>
        <w:t>[</w:t>
      </w:r>
      <w:r w:rsidRPr="00E96B63">
        <w:rPr>
          <w:sz w:val="28"/>
          <w:szCs w:val="28"/>
        </w:rPr>
        <w:t>3]</w:t>
      </w:r>
      <w:r w:rsidRPr="00931492">
        <w:rPr>
          <w:sz w:val="28"/>
          <w:szCs w:val="28"/>
          <w:lang w:val="ru-RU"/>
        </w:rPr>
        <w:t xml:space="preserve">. </w:t>
      </w:r>
      <w:r w:rsidRPr="00931492">
        <w:rPr>
          <w:sz w:val="28"/>
          <w:szCs w:val="28"/>
        </w:rPr>
        <w:t>Впродовж періоду соціально-економічних перетворень в Україні триває трансформація форм власності, що зумовлює усунення державної монополії в економіці, а тому вагома частка економічного впливу поступово переходить до недержавного сектору.  За статистичними даними сьогодні переважають підприємства з колективною (приватною) формою власності, серед яких корпорації (акціонерні товариства відкритого чи закритого типу) за чисельністю займають провідне місце</w:t>
      </w:r>
      <w:r w:rsidRPr="00282380">
        <w:rPr>
          <w:sz w:val="28"/>
          <w:szCs w:val="28"/>
        </w:rPr>
        <w:t xml:space="preserve"> [</w:t>
      </w:r>
      <w:r w:rsidRPr="00E96B63">
        <w:rPr>
          <w:sz w:val="28"/>
          <w:szCs w:val="28"/>
        </w:rPr>
        <w:t>6</w:t>
      </w:r>
      <w:r w:rsidRPr="00282380">
        <w:rPr>
          <w:sz w:val="28"/>
          <w:szCs w:val="28"/>
        </w:rPr>
        <w:t>]</w:t>
      </w:r>
      <w:r w:rsidRPr="00931492">
        <w:rPr>
          <w:sz w:val="28"/>
          <w:szCs w:val="28"/>
        </w:rPr>
        <w:t>. Саме вони здійснюють найпотужніший вплив на економічний розвиток країни. Відомо, що за кордоном близько 80% бізнесу провадиться у формі корпорацій, які дають змогу концентрувати значні матеріальні, людські та фінансові ресурси для подолання складних науково-технічних і виробничо-господарських проблем.</w:t>
      </w:r>
    </w:p>
    <w:p w:rsidR="00CF0E1F" w:rsidRPr="00931492" w:rsidRDefault="00CF0E1F" w:rsidP="00931492">
      <w:pPr>
        <w:spacing w:line="360" w:lineRule="auto"/>
        <w:ind w:firstLine="705"/>
        <w:jc w:val="both"/>
        <w:rPr>
          <w:sz w:val="28"/>
          <w:szCs w:val="28"/>
          <w:lang w:val="ru-RU"/>
        </w:rPr>
      </w:pPr>
      <w:r w:rsidRPr="00931492">
        <w:rPr>
          <w:sz w:val="28"/>
          <w:szCs w:val="28"/>
        </w:rPr>
        <w:t>В найбільш загальному вигляді корпорація – це організаційна структура, яка об</w:t>
      </w:r>
      <w:r w:rsidRPr="00931492">
        <w:rPr>
          <w:sz w:val="28"/>
          <w:szCs w:val="28"/>
          <w:lang w:val="ru-RU"/>
        </w:rPr>
        <w:t>’єднує необхідні ресурси для виробництва товарів та надання послуг населенню. Ця форма організації є досить популярною в усіх країнах, оскільки:</w:t>
      </w:r>
    </w:p>
    <w:p w:rsidR="00CF0E1F" w:rsidRPr="00931492" w:rsidRDefault="00CF0E1F" w:rsidP="0093149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931492">
        <w:rPr>
          <w:sz w:val="28"/>
          <w:szCs w:val="28"/>
          <w:lang w:val="ru-RU"/>
        </w:rPr>
        <w:t>обмежує фінансовий ризик акціонерів, внаслідок виключення за чинним законодавством їх відповідальністі перед кредиторами товариства за межами капіталу, що розміщений в акціях;</w:t>
      </w:r>
    </w:p>
    <w:p w:rsidR="00CF0E1F" w:rsidRPr="00931492" w:rsidRDefault="00CF0E1F" w:rsidP="0093149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931492">
        <w:rPr>
          <w:sz w:val="28"/>
          <w:szCs w:val="28"/>
          <w:lang w:val="ru-RU"/>
        </w:rPr>
        <w:t>робить можливим залучення капіталу за рахунок випуску додаткової кількості акцій та емісії інших цінних паперів;</w:t>
      </w:r>
    </w:p>
    <w:p w:rsidR="00CF0E1F" w:rsidRPr="00931492" w:rsidRDefault="00CF0E1F" w:rsidP="0093149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931492">
        <w:rPr>
          <w:sz w:val="28"/>
          <w:szCs w:val="28"/>
          <w:lang w:val="ru-RU"/>
        </w:rPr>
        <w:t>продовжує діяльність навіть після зміни складу акціонерів;</w:t>
      </w:r>
    </w:p>
    <w:p w:rsidR="00CF0E1F" w:rsidRPr="00931492" w:rsidRDefault="00CF0E1F" w:rsidP="0093149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931492">
        <w:rPr>
          <w:sz w:val="28"/>
          <w:szCs w:val="28"/>
          <w:lang w:val="ru-RU"/>
        </w:rPr>
        <w:t>сприяє отриманню інвестицій на вигідних умовах;</w:t>
      </w:r>
    </w:p>
    <w:p w:rsidR="00CF0E1F" w:rsidRPr="00931492" w:rsidRDefault="00CF0E1F" w:rsidP="0093149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931492">
        <w:rPr>
          <w:sz w:val="28"/>
          <w:szCs w:val="28"/>
          <w:lang w:val="ru-RU"/>
        </w:rPr>
        <w:t>дає змогу власникам корпорацій успішно реалізовувати стратегічні плани на засадах колективних інтересів;</w:t>
      </w:r>
    </w:p>
    <w:p w:rsidR="00CF0E1F" w:rsidRPr="00931492" w:rsidRDefault="00CF0E1F" w:rsidP="0093149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931492">
        <w:rPr>
          <w:sz w:val="28"/>
          <w:szCs w:val="28"/>
          <w:lang w:val="ru-RU"/>
        </w:rPr>
        <w:t>пропонує працівникам участь у розподілі прибутків та капіталу;</w:t>
      </w:r>
    </w:p>
    <w:p w:rsidR="00CF0E1F" w:rsidRPr="00931492" w:rsidRDefault="00CF0E1F" w:rsidP="0093149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931492">
        <w:rPr>
          <w:sz w:val="28"/>
          <w:szCs w:val="28"/>
          <w:lang w:val="ru-RU"/>
        </w:rPr>
        <w:t>створює механізм повернення вкладених в статутний капітал коштів шляхом продажу акцій;</w:t>
      </w:r>
    </w:p>
    <w:p w:rsidR="00CF0E1F" w:rsidRPr="00931492" w:rsidRDefault="00CF0E1F" w:rsidP="0093149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931492">
        <w:rPr>
          <w:sz w:val="28"/>
          <w:szCs w:val="28"/>
          <w:lang w:val="ru-RU"/>
        </w:rPr>
        <w:t>забезпечує контроль за діяльністю управлінського аппарату тощо.</w:t>
      </w:r>
    </w:p>
    <w:p w:rsidR="00CF0E1F" w:rsidRPr="00931492" w:rsidRDefault="00CF0E1F" w:rsidP="00931492">
      <w:pPr>
        <w:spacing w:line="360" w:lineRule="auto"/>
        <w:ind w:firstLine="705"/>
        <w:jc w:val="both"/>
        <w:rPr>
          <w:sz w:val="28"/>
          <w:szCs w:val="28"/>
          <w:lang w:val="ru-RU"/>
        </w:rPr>
      </w:pPr>
      <w:r w:rsidRPr="00931492">
        <w:rPr>
          <w:sz w:val="28"/>
          <w:szCs w:val="28"/>
          <w:lang w:val="ru-RU"/>
        </w:rPr>
        <w:t>Отже, корпорації – це такі комерційні організації, які базуються на членстві, чи ті господарські суб’єкти, що були утворені декількома юридичними чи фізичними особами об’єднанням їх внесків для здійснення господарської діяльності з метою отримання певного очікуваного довготривалого результату.</w:t>
      </w:r>
    </w:p>
    <w:p w:rsidR="00CF0E1F" w:rsidRPr="00931492" w:rsidRDefault="00CF0E1F" w:rsidP="00931492">
      <w:pPr>
        <w:spacing w:line="360" w:lineRule="auto"/>
        <w:ind w:firstLine="705"/>
        <w:jc w:val="both"/>
        <w:rPr>
          <w:sz w:val="28"/>
          <w:szCs w:val="28"/>
          <w:lang w:val="ru-RU"/>
        </w:rPr>
      </w:pPr>
      <w:r w:rsidRPr="00931492">
        <w:rPr>
          <w:sz w:val="28"/>
          <w:szCs w:val="28"/>
          <w:lang w:val="ru-RU"/>
        </w:rPr>
        <w:t>Водночас, у відповідності із Законом України «Про підприємства в Україні»,  корпорацією визнане «договірне об’єднання, створене на основі поєднання виробничих, наукових і комерційних інтересів, з делегуванням окремих повноважень централізованого регулювання діяльності кожного з учасників»</w:t>
      </w:r>
      <w:r w:rsidRPr="00944B57">
        <w:rPr>
          <w:sz w:val="28"/>
          <w:szCs w:val="28"/>
          <w:lang w:val="ru-RU"/>
        </w:rPr>
        <w:t xml:space="preserve"> [</w:t>
      </w:r>
      <w:r w:rsidRPr="00E96B63">
        <w:rPr>
          <w:sz w:val="28"/>
          <w:szCs w:val="28"/>
          <w:lang w:val="ru-RU"/>
        </w:rPr>
        <w:t>1</w:t>
      </w:r>
      <w:r w:rsidRPr="00944B57">
        <w:rPr>
          <w:sz w:val="28"/>
          <w:szCs w:val="28"/>
          <w:lang w:val="ru-RU"/>
        </w:rPr>
        <w:t>]</w:t>
      </w:r>
      <w:r w:rsidRPr="00931492">
        <w:rPr>
          <w:sz w:val="28"/>
          <w:szCs w:val="28"/>
          <w:lang w:val="ru-RU"/>
        </w:rPr>
        <w:t>.</w:t>
      </w:r>
    </w:p>
    <w:p w:rsidR="00CF0E1F" w:rsidRPr="00931492" w:rsidRDefault="00CF0E1F" w:rsidP="00931492">
      <w:pPr>
        <w:spacing w:line="360" w:lineRule="auto"/>
        <w:ind w:firstLine="705"/>
        <w:jc w:val="both"/>
        <w:rPr>
          <w:sz w:val="28"/>
          <w:szCs w:val="28"/>
          <w:lang w:val="ru-RU"/>
        </w:rPr>
      </w:pPr>
      <w:r w:rsidRPr="00931492">
        <w:rPr>
          <w:sz w:val="28"/>
          <w:szCs w:val="28"/>
          <w:lang w:val="ru-RU"/>
        </w:rPr>
        <w:t xml:space="preserve">Оскільки таке визначення «корпорації» є неповним, вітчизняні підприємці та дослідники дотримуються різних поглядів на понятійні межі цього терміну. Дехто до корпорацій відносить всі комерційні організації, що засновані на членстві, інші – господарські товариства або – лише акціонерні товариства. </w:t>
      </w:r>
      <w:r>
        <w:rPr>
          <w:sz w:val="28"/>
          <w:szCs w:val="28"/>
          <w:lang w:val="ru-RU"/>
        </w:rPr>
        <w:t>К</w:t>
      </w:r>
      <w:r w:rsidRPr="00931492">
        <w:rPr>
          <w:sz w:val="28"/>
          <w:szCs w:val="28"/>
          <w:lang w:val="ru-RU"/>
        </w:rPr>
        <w:t>ожна з позицій має раціональну основу і право на існування, хоча не можна не зауважити, що саме акціонерні товариства у вітчизняній економіко-правовій системі за своєю суттю з найменшими умовностями ідентифікуються з корпораціями у світовій та правовій практиці.</w:t>
      </w:r>
    </w:p>
    <w:p w:rsidR="00CF0E1F" w:rsidRPr="00931492" w:rsidRDefault="00CF0E1F" w:rsidP="00931492">
      <w:pPr>
        <w:spacing w:line="360" w:lineRule="auto"/>
        <w:ind w:firstLine="705"/>
        <w:jc w:val="both"/>
        <w:rPr>
          <w:sz w:val="28"/>
          <w:szCs w:val="28"/>
        </w:rPr>
      </w:pPr>
      <w:r w:rsidRPr="00931492">
        <w:rPr>
          <w:sz w:val="28"/>
          <w:szCs w:val="28"/>
        </w:rPr>
        <w:t>Система корпоративного управління – це організаційна модель, яка покликана, з однієї сторони, регулювати взаємовідносини між менеджерами компанії та її власниками (акціонерами), а з іншої – узгоджувати цілі різних зацікавлених сторін, забезпечуючи, таким чином, ефективне функціонування компанії. Система корпоративного управління передбачає розділення прав і обов’язків між різними учасниками корпоративних відносин, такими як правління, управлінський апарат, акціонери, заінтересовані групи (робітники, покупці/постачальники, держава, населення). За рахунок цього формується система завдань щодо діяльності корпорації, способи реалізації поставлених завдань і відслідковуються  результати діяльності</w:t>
      </w:r>
      <w:r w:rsidRPr="00944B57">
        <w:rPr>
          <w:sz w:val="28"/>
          <w:szCs w:val="28"/>
          <w:lang w:val="ru-RU"/>
        </w:rPr>
        <w:t xml:space="preserve"> [</w:t>
      </w:r>
      <w:r w:rsidRPr="00E96B63">
        <w:rPr>
          <w:sz w:val="28"/>
          <w:szCs w:val="28"/>
          <w:lang w:val="ru-RU"/>
        </w:rPr>
        <w:t>4</w:t>
      </w:r>
      <w:r w:rsidRPr="00944B57">
        <w:rPr>
          <w:sz w:val="28"/>
          <w:szCs w:val="28"/>
          <w:lang w:val="ru-RU"/>
        </w:rPr>
        <w:t>]</w:t>
      </w:r>
      <w:r w:rsidRPr="00931492">
        <w:rPr>
          <w:sz w:val="28"/>
          <w:szCs w:val="28"/>
        </w:rPr>
        <w:t>.</w:t>
      </w:r>
    </w:p>
    <w:p w:rsidR="00CF0E1F" w:rsidRPr="00931492" w:rsidRDefault="00CF0E1F" w:rsidP="00931492">
      <w:pPr>
        <w:spacing w:line="360" w:lineRule="auto"/>
        <w:ind w:firstLine="705"/>
        <w:jc w:val="both"/>
        <w:rPr>
          <w:sz w:val="28"/>
          <w:szCs w:val="28"/>
          <w:lang w:val="ru-RU"/>
        </w:rPr>
      </w:pPr>
      <w:r w:rsidRPr="00931492">
        <w:rPr>
          <w:sz w:val="28"/>
          <w:szCs w:val="28"/>
          <w:lang w:val="ru-RU"/>
        </w:rPr>
        <w:t>Корпоративне законодавство в Україні проходить, по суті, поки що етап становлення, вбираючи в себе все прогресивне із світового досвіду та початкового досвіду функціонування українських акціонерних товариств. Тому важливо враховувати особливості функціонування акціонерних товариств в Україні в межах чинного законодавства, яким би недосконалим воно не було, а також ті позитивні й прогресивні моменти зарубіжного досвіду, що сприятимуть подальшому розвиткові українського корпоративного сектору економіки.</w:t>
      </w:r>
    </w:p>
    <w:p w:rsidR="00CF0E1F" w:rsidRPr="00931492" w:rsidRDefault="00CF0E1F" w:rsidP="00931492">
      <w:pPr>
        <w:spacing w:line="360" w:lineRule="auto"/>
        <w:ind w:firstLine="705"/>
        <w:jc w:val="both"/>
        <w:rPr>
          <w:sz w:val="28"/>
          <w:szCs w:val="28"/>
        </w:rPr>
      </w:pPr>
      <w:r w:rsidRPr="00931492">
        <w:rPr>
          <w:sz w:val="28"/>
          <w:szCs w:val="28"/>
        </w:rPr>
        <w:t>Крім органів управління акціонерним товариством, при формуванні корпоративних відносин варто враховувати такі параметри:</w:t>
      </w:r>
    </w:p>
    <w:p w:rsidR="00CF0E1F" w:rsidRPr="00931492" w:rsidRDefault="00CF0E1F" w:rsidP="0093149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31492">
        <w:rPr>
          <w:sz w:val="28"/>
          <w:szCs w:val="28"/>
        </w:rPr>
        <w:t>склад безпосередніх учасників;</w:t>
      </w:r>
    </w:p>
    <w:p w:rsidR="00CF0E1F" w:rsidRPr="00931492" w:rsidRDefault="00CF0E1F" w:rsidP="0093149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31492">
        <w:rPr>
          <w:sz w:val="28"/>
          <w:szCs w:val="28"/>
        </w:rPr>
        <w:t>структура акціонерного капіталу;</w:t>
      </w:r>
    </w:p>
    <w:p w:rsidR="00CF0E1F" w:rsidRPr="00931492" w:rsidRDefault="00CF0E1F" w:rsidP="0093149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31492">
        <w:rPr>
          <w:sz w:val="28"/>
          <w:szCs w:val="28"/>
        </w:rPr>
        <w:t>коло зацікавлених осіб;</w:t>
      </w:r>
    </w:p>
    <w:p w:rsidR="00CF0E1F" w:rsidRPr="00931492" w:rsidRDefault="00CF0E1F" w:rsidP="0093149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31492">
        <w:rPr>
          <w:sz w:val="28"/>
          <w:szCs w:val="28"/>
        </w:rPr>
        <w:t>склад та повноваження ради директорів (іншого колегіального органу управління);</w:t>
      </w:r>
    </w:p>
    <w:p w:rsidR="00CF0E1F" w:rsidRPr="00931492" w:rsidRDefault="00CF0E1F" w:rsidP="0093149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31492">
        <w:rPr>
          <w:sz w:val="28"/>
          <w:szCs w:val="28"/>
        </w:rPr>
        <w:t>особливості взаємодії учасників акціонерного товариства;</w:t>
      </w:r>
    </w:p>
    <w:p w:rsidR="00CF0E1F" w:rsidRPr="00931492" w:rsidRDefault="00CF0E1F" w:rsidP="0093149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31492">
        <w:rPr>
          <w:sz w:val="28"/>
          <w:szCs w:val="28"/>
        </w:rPr>
        <w:t>нормативне забезпечення діяльності акціонерних товариств;</w:t>
      </w:r>
    </w:p>
    <w:p w:rsidR="00CF0E1F" w:rsidRPr="00931492" w:rsidRDefault="00CF0E1F" w:rsidP="0093149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31492">
        <w:rPr>
          <w:sz w:val="28"/>
          <w:szCs w:val="28"/>
        </w:rPr>
        <w:t>вимоги щодо розкриття інформації</w:t>
      </w:r>
      <w:r w:rsidRPr="00944B57">
        <w:rPr>
          <w:sz w:val="28"/>
          <w:szCs w:val="28"/>
          <w:lang w:val="ru-RU"/>
        </w:rPr>
        <w:t xml:space="preserve"> [</w:t>
      </w:r>
      <w:r w:rsidRPr="00E96B63">
        <w:rPr>
          <w:sz w:val="28"/>
          <w:szCs w:val="28"/>
          <w:lang w:val="ru-RU"/>
        </w:rPr>
        <w:t>5</w:t>
      </w:r>
      <w:r w:rsidRPr="00944B57">
        <w:rPr>
          <w:sz w:val="28"/>
          <w:szCs w:val="28"/>
          <w:lang w:val="ru-RU"/>
        </w:rPr>
        <w:t>]</w:t>
      </w:r>
      <w:r w:rsidRPr="00931492">
        <w:rPr>
          <w:sz w:val="28"/>
          <w:szCs w:val="28"/>
        </w:rPr>
        <w:t>.</w:t>
      </w:r>
    </w:p>
    <w:p w:rsidR="00CF0E1F" w:rsidRPr="00931492" w:rsidRDefault="00CF0E1F" w:rsidP="00931492">
      <w:pPr>
        <w:spacing w:line="360" w:lineRule="auto"/>
        <w:ind w:firstLine="705"/>
        <w:jc w:val="both"/>
        <w:rPr>
          <w:sz w:val="28"/>
          <w:szCs w:val="28"/>
        </w:rPr>
      </w:pPr>
      <w:r w:rsidRPr="00931492">
        <w:rPr>
          <w:sz w:val="28"/>
          <w:szCs w:val="28"/>
        </w:rPr>
        <w:t>Одним із головних чинників, який впливає на успішну діяльність товариства, є можливість його доступу до інвестиційного капіталу. В рамках корпоративного управління визначається, яким чином інвестори здійснюють контроль за діяльністю менеджерів, а також, яку відповідальність несуть менеджери перед інвесторами за результати діяльності товариства. Належна система корпоративного управління дозволяє інвесторам бути впевненими у тому, що їх інвестиції менеджери товариства розумно використовує для розвитку фінансово-господарської діяльності.</w:t>
      </w:r>
    </w:p>
    <w:p w:rsidR="00CF0E1F" w:rsidRPr="00931492" w:rsidRDefault="00CF0E1F" w:rsidP="00931492">
      <w:pPr>
        <w:spacing w:line="360" w:lineRule="auto"/>
        <w:ind w:firstLine="705"/>
        <w:jc w:val="both"/>
        <w:rPr>
          <w:sz w:val="28"/>
          <w:szCs w:val="28"/>
        </w:rPr>
      </w:pPr>
      <w:r w:rsidRPr="00931492">
        <w:rPr>
          <w:sz w:val="28"/>
          <w:szCs w:val="28"/>
        </w:rPr>
        <w:t>У вітчизняній економічній літературі капітал корпорацій часто пов’язують лише з випуском акцій, які дають право на одержання прибутку. Наприклад, у «Великому економічному словнику» акціонерний капітал розглядається як такий, що формується шляхом випуску різних категорій акцій, які надають їх власнику право на частку прибутку і повноваження у вирішенні справ компанії</w:t>
      </w:r>
      <w:r>
        <w:rPr>
          <w:sz w:val="28"/>
          <w:szCs w:val="28"/>
        </w:rPr>
        <w:t xml:space="preserve"> </w:t>
      </w:r>
      <w:r w:rsidRPr="00944B57">
        <w:rPr>
          <w:sz w:val="28"/>
          <w:szCs w:val="28"/>
        </w:rPr>
        <w:t>[</w:t>
      </w:r>
      <w:r w:rsidRPr="00E96B63">
        <w:rPr>
          <w:sz w:val="28"/>
          <w:szCs w:val="28"/>
        </w:rPr>
        <w:t>2</w:t>
      </w:r>
      <w:r w:rsidRPr="00944B57">
        <w:rPr>
          <w:sz w:val="28"/>
          <w:szCs w:val="28"/>
        </w:rPr>
        <w:t>]</w:t>
      </w:r>
      <w:r w:rsidRPr="00931492">
        <w:rPr>
          <w:sz w:val="28"/>
          <w:szCs w:val="28"/>
        </w:rPr>
        <w:t>.</w:t>
      </w:r>
    </w:p>
    <w:p w:rsidR="00CF0E1F" w:rsidRPr="00D939EE" w:rsidRDefault="00CF0E1F" w:rsidP="00D939EE">
      <w:pPr>
        <w:spacing w:line="360" w:lineRule="auto"/>
        <w:ind w:firstLine="705"/>
        <w:jc w:val="both"/>
        <w:rPr>
          <w:sz w:val="28"/>
          <w:szCs w:val="28"/>
        </w:rPr>
      </w:pPr>
      <w:r w:rsidRPr="00931492">
        <w:rPr>
          <w:sz w:val="28"/>
          <w:szCs w:val="28"/>
          <w:lang w:val="ru-RU"/>
        </w:rPr>
        <w:t xml:space="preserve">На практиці специфіка корпорацій України проявляється в тому, що їх  капітал формується за рахунок трансформації статутних фондів державних підприємств під час приватизації. </w:t>
      </w:r>
      <w:r w:rsidRPr="00931492">
        <w:rPr>
          <w:sz w:val="28"/>
          <w:szCs w:val="28"/>
        </w:rPr>
        <w:t>Тому, в контексті корпоративного управління, проблема захисту прав інвесторів є однією з найактуальніших і на фондовому ринку України. Адже, корпоративні конфлікти в акціонерних товариствах, зумовлені недосконалістю законодавства та хибною практикою корпоративного управління, викликають недовіру інвесторів до основного фінансового інструмента – акцій як об</w:t>
      </w:r>
      <w:r w:rsidRPr="00931492">
        <w:rPr>
          <w:sz w:val="28"/>
          <w:szCs w:val="28"/>
          <w:lang w:val="ru-RU"/>
        </w:rPr>
        <w:t>’єкта інвестицій та способу примноження капіталу.  Отже, директивними заходами «перевести» торги цінними паперами на організований ринок неможливо. Це пояснюється сформованими механізмами руху та перерозподілу капіталу, від яких українські промислово-фінансові групи не бажають відмовлятись. Якщо держава дійсно зацікавлена у функціонуванні прозорого фондового ринку, вона повинна запропонувати відповідні стимули для зосередження торгівлі корпоративними цінними паперами на організованому ринку.</w:t>
      </w:r>
    </w:p>
    <w:p w:rsidR="00CF0E1F" w:rsidRPr="00931492" w:rsidRDefault="00CF0E1F" w:rsidP="00D939EE">
      <w:pPr>
        <w:spacing w:line="360" w:lineRule="auto"/>
        <w:ind w:firstLine="705"/>
        <w:jc w:val="both"/>
        <w:rPr>
          <w:sz w:val="28"/>
          <w:szCs w:val="28"/>
        </w:rPr>
      </w:pPr>
      <w:r w:rsidRPr="00931492">
        <w:rPr>
          <w:sz w:val="28"/>
          <w:szCs w:val="28"/>
          <w:lang w:val="ru-RU"/>
        </w:rPr>
        <w:t>Таким чином, система корпоративного управління, яка сформувалася в Україні, ще потребує значних зусиль для її удосконалення. Адже, велика кількість конфліктів стосується питань виплати дивідендів, проведення додаткових випусків акцій, реорганізації, розпорядження активами товариств, а також пов’язана з недосконалістю системи обліку прав власності на цінні папери в Україні, тому пріоритетним напрямом розвитку цієї системи має бути обов’</w:t>
      </w:r>
      <w:r w:rsidRPr="00931492">
        <w:rPr>
          <w:sz w:val="28"/>
          <w:szCs w:val="28"/>
        </w:rPr>
        <w:t>язкове запровадження загальноприйнятих та національних принципів корпоративного управління у практичну діяльність акціонерних товариств</w:t>
      </w:r>
      <w:r w:rsidRPr="00931492">
        <w:rPr>
          <w:sz w:val="28"/>
          <w:szCs w:val="28"/>
          <w:lang w:val="ru-RU"/>
        </w:rPr>
        <w:t xml:space="preserve">. </w:t>
      </w:r>
    </w:p>
    <w:p w:rsidR="00CF0E1F" w:rsidRDefault="00CF0E1F" w:rsidP="00282380">
      <w:pPr>
        <w:spacing w:line="360" w:lineRule="auto"/>
        <w:jc w:val="center"/>
        <w:rPr>
          <w:b/>
          <w:bCs/>
          <w:sz w:val="28"/>
          <w:szCs w:val="28"/>
        </w:rPr>
      </w:pPr>
    </w:p>
    <w:p w:rsidR="00CF0E1F" w:rsidRDefault="00CF0E1F" w:rsidP="00282380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Література</w:t>
      </w:r>
    </w:p>
    <w:p w:rsidR="00CF0E1F" w:rsidRPr="00E96B63" w:rsidRDefault="00CF0E1F" w:rsidP="00282380">
      <w:pPr>
        <w:pStyle w:val="ListParagraph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96B63">
        <w:rPr>
          <w:sz w:val="28"/>
          <w:szCs w:val="28"/>
          <w:lang w:val="ru-RU"/>
        </w:rPr>
        <w:t>Закон України «Про підприємства в України» №887-ХІІ від 27.03.1991р. (кодифікований)</w:t>
      </w:r>
    </w:p>
    <w:p w:rsidR="00CF0E1F" w:rsidRPr="00E96B63" w:rsidRDefault="00CF0E1F" w:rsidP="00282380">
      <w:pPr>
        <w:pStyle w:val="ListParagraph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96B63">
        <w:rPr>
          <w:sz w:val="28"/>
          <w:szCs w:val="28"/>
          <w:lang w:val="ru-RU"/>
        </w:rPr>
        <w:t>Большой экономический словарь. Под ред. А.Н.Азрилияна. М., Институт новой экономики, 2002, С.340.</w:t>
      </w:r>
    </w:p>
    <w:p w:rsidR="00CF0E1F" w:rsidRPr="00E96B63" w:rsidRDefault="00CF0E1F" w:rsidP="00282380">
      <w:pPr>
        <w:pStyle w:val="ListParagraph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96B63">
        <w:rPr>
          <w:sz w:val="28"/>
          <w:szCs w:val="28"/>
        </w:rPr>
        <w:t>Голиков В.І. Теоретична сутність корпоративних відносин та корпоративного управління // Економіка і прогнозування. – 2001. №2. – С.53.</w:t>
      </w:r>
    </w:p>
    <w:p w:rsidR="00CF0E1F" w:rsidRPr="00E96B63" w:rsidRDefault="00CF0E1F" w:rsidP="00282380">
      <w:pPr>
        <w:pStyle w:val="ListParagraph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96B63">
        <w:rPr>
          <w:sz w:val="28"/>
          <w:szCs w:val="28"/>
          <w:lang w:val="ru-RU"/>
        </w:rPr>
        <w:t>Окунев А.И. Основы корпоративного управления. – К., 2003.</w:t>
      </w:r>
    </w:p>
    <w:p w:rsidR="00CF0E1F" w:rsidRPr="00E96B63" w:rsidRDefault="00CF0E1F" w:rsidP="00282380">
      <w:pPr>
        <w:pStyle w:val="ListParagraph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96B63">
        <w:rPr>
          <w:sz w:val="28"/>
          <w:szCs w:val="28"/>
          <w:lang w:val="ru-RU"/>
        </w:rPr>
        <w:t>Храброва И.А. Корпоративное управление: вопросы интеграции. – М.: Альпина издательский дом, 1998.</w:t>
      </w:r>
    </w:p>
    <w:p w:rsidR="00CF0E1F" w:rsidRPr="00E96B63" w:rsidRDefault="00CF0E1F" w:rsidP="00E96B63">
      <w:pPr>
        <w:pStyle w:val="ListParagraph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96B63">
        <w:rPr>
          <w:sz w:val="28"/>
          <w:szCs w:val="28"/>
        </w:rPr>
        <w:t>http://nssmc.gov.ua.</w:t>
      </w:r>
    </w:p>
    <w:sectPr w:rsidR="00CF0E1F" w:rsidRPr="00E96B63" w:rsidSect="00931492"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E1F" w:rsidRDefault="00CF0E1F" w:rsidP="00931492">
      <w:r>
        <w:separator/>
      </w:r>
    </w:p>
  </w:endnote>
  <w:endnote w:type="continuationSeparator" w:id="0">
    <w:p w:rsidR="00CF0E1F" w:rsidRDefault="00CF0E1F" w:rsidP="00931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altName w:val="Constanti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E1F" w:rsidRDefault="00CF0E1F" w:rsidP="00931492">
      <w:r>
        <w:separator/>
      </w:r>
    </w:p>
  </w:footnote>
  <w:footnote w:type="continuationSeparator" w:id="0">
    <w:p w:rsidR="00CF0E1F" w:rsidRDefault="00CF0E1F" w:rsidP="009314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1A37"/>
    <w:multiLevelType w:val="hybridMultilevel"/>
    <w:tmpl w:val="C1FC5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83004"/>
    <w:multiLevelType w:val="hybridMultilevel"/>
    <w:tmpl w:val="9AFC47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42151E6"/>
    <w:multiLevelType w:val="hybridMultilevel"/>
    <w:tmpl w:val="3C642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27C6FDF"/>
    <w:multiLevelType w:val="hybridMultilevel"/>
    <w:tmpl w:val="0464B4F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9F70596"/>
    <w:multiLevelType w:val="hybridMultilevel"/>
    <w:tmpl w:val="0C8CD948"/>
    <w:lvl w:ilvl="0" w:tplc="042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5">
    <w:nsid w:val="519E6F45"/>
    <w:multiLevelType w:val="hybridMultilevel"/>
    <w:tmpl w:val="D4CADF9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D3D2FBE"/>
    <w:multiLevelType w:val="hybridMultilevel"/>
    <w:tmpl w:val="9D54197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81C499C"/>
    <w:multiLevelType w:val="hybridMultilevel"/>
    <w:tmpl w:val="4CDC011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308"/>
    <w:rsid w:val="00104A3A"/>
    <w:rsid w:val="001D68A2"/>
    <w:rsid w:val="001E7308"/>
    <w:rsid w:val="00282380"/>
    <w:rsid w:val="002C0565"/>
    <w:rsid w:val="004652BA"/>
    <w:rsid w:val="00931492"/>
    <w:rsid w:val="00944B57"/>
    <w:rsid w:val="00CF0E1F"/>
    <w:rsid w:val="00D939EE"/>
    <w:rsid w:val="00DD5F8C"/>
    <w:rsid w:val="00DE4BDA"/>
    <w:rsid w:val="00E96B63"/>
    <w:rsid w:val="00F0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92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3149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314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31492"/>
    <w:rPr>
      <w:rFonts w:ascii="Times New Roman" w:hAnsi="Times New Roman" w:cs="Times New Roman"/>
      <w:sz w:val="20"/>
      <w:szCs w:val="20"/>
      <w:lang w:val="uk-UA" w:eastAsia="uk-UA"/>
    </w:rPr>
  </w:style>
  <w:style w:type="character" w:styleId="FootnoteReference">
    <w:name w:val="footnote reference"/>
    <w:basedOn w:val="DefaultParagraphFont"/>
    <w:uiPriority w:val="99"/>
    <w:semiHidden/>
    <w:rsid w:val="00931492"/>
    <w:rPr>
      <w:vertAlign w:val="superscript"/>
    </w:rPr>
  </w:style>
  <w:style w:type="paragraph" w:customStyle="1" w:styleId="Default">
    <w:name w:val="Default"/>
    <w:uiPriority w:val="99"/>
    <w:rsid w:val="00931492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8238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5</Pages>
  <Words>1305</Words>
  <Characters>7444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</cp:revision>
  <dcterms:created xsi:type="dcterms:W3CDTF">2016-01-21T17:47:00Z</dcterms:created>
  <dcterms:modified xsi:type="dcterms:W3CDTF">2017-07-02T19:32:00Z</dcterms:modified>
</cp:coreProperties>
</file>