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A0" w:rsidRPr="008E42FE" w:rsidRDefault="008E42FE" w:rsidP="008E42FE">
      <w:pPr>
        <w:spacing w:after="0" w:line="360" w:lineRule="auto"/>
        <w:jc w:val="center"/>
        <w:rPr>
          <w:rFonts w:ascii="Times New Roman" w:hAnsi="Times New Roman"/>
          <w:b/>
          <w:i/>
          <w:sz w:val="28"/>
          <w:szCs w:val="28"/>
        </w:rPr>
      </w:pPr>
      <w:r w:rsidRPr="008E42FE">
        <w:rPr>
          <w:rFonts w:ascii="Times New Roman" w:hAnsi="Times New Roman"/>
          <w:b/>
          <w:i/>
          <w:sz w:val="28"/>
          <w:szCs w:val="28"/>
          <w:lang w:val="ru-RU"/>
        </w:rPr>
        <w:t>9</w:t>
      </w:r>
      <w:r w:rsidRPr="008E42FE">
        <w:rPr>
          <w:rFonts w:ascii="Times New Roman" w:hAnsi="Times New Roman"/>
          <w:b/>
          <w:i/>
          <w:sz w:val="28"/>
          <w:szCs w:val="28"/>
        </w:rPr>
        <w:t>. Гроші, фінанси і кредит</w:t>
      </w:r>
    </w:p>
    <w:p w:rsidR="00801FA0" w:rsidRPr="008E42FE" w:rsidRDefault="008E42FE" w:rsidP="008E42FE">
      <w:pPr>
        <w:spacing w:after="0" w:line="360" w:lineRule="auto"/>
        <w:ind w:firstLine="374"/>
        <w:jc w:val="right"/>
        <w:rPr>
          <w:rFonts w:ascii="Times New Roman" w:hAnsi="Times New Roman"/>
          <w:sz w:val="28"/>
          <w:szCs w:val="28"/>
        </w:rPr>
      </w:pPr>
      <w:r w:rsidRPr="008E42FE">
        <w:rPr>
          <w:rFonts w:ascii="Times New Roman" w:hAnsi="Times New Roman"/>
          <w:b/>
          <w:sz w:val="28"/>
          <w:szCs w:val="28"/>
        </w:rPr>
        <w:t>Татарин Наталія Богданівна</w:t>
      </w:r>
      <w:r w:rsidR="00801FA0" w:rsidRPr="008E42FE">
        <w:rPr>
          <w:rFonts w:ascii="Times New Roman" w:hAnsi="Times New Roman"/>
          <w:sz w:val="28"/>
          <w:szCs w:val="28"/>
        </w:rPr>
        <w:t>,</w:t>
      </w:r>
    </w:p>
    <w:p w:rsidR="00801FA0" w:rsidRPr="008E42FE" w:rsidRDefault="00801FA0" w:rsidP="008E42FE">
      <w:pPr>
        <w:spacing w:after="0" w:line="360" w:lineRule="auto"/>
        <w:ind w:firstLine="374"/>
        <w:jc w:val="right"/>
        <w:rPr>
          <w:rFonts w:ascii="Times New Roman" w:hAnsi="Times New Roman"/>
          <w:sz w:val="28"/>
          <w:szCs w:val="28"/>
        </w:rPr>
      </w:pPr>
      <w:proofErr w:type="spellStart"/>
      <w:r w:rsidRPr="008E42FE">
        <w:rPr>
          <w:rFonts w:ascii="Times New Roman" w:hAnsi="Times New Roman"/>
          <w:sz w:val="28"/>
          <w:szCs w:val="28"/>
        </w:rPr>
        <w:t>к.е.н</w:t>
      </w:r>
      <w:proofErr w:type="spellEnd"/>
      <w:r w:rsidRPr="008E42FE">
        <w:rPr>
          <w:rFonts w:ascii="Times New Roman" w:hAnsi="Times New Roman"/>
          <w:sz w:val="28"/>
          <w:szCs w:val="28"/>
        </w:rPr>
        <w:t xml:space="preserve">., </w:t>
      </w:r>
      <w:r w:rsidR="008E42FE" w:rsidRPr="008E42FE">
        <w:rPr>
          <w:rFonts w:ascii="Times New Roman" w:hAnsi="Times New Roman"/>
          <w:sz w:val="28"/>
          <w:szCs w:val="28"/>
        </w:rPr>
        <w:t>доцент</w:t>
      </w:r>
      <w:r w:rsidRPr="008E42FE">
        <w:rPr>
          <w:rFonts w:ascii="Times New Roman" w:hAnsi="Times New Roman"/>
          <w:sz w:val="28"/>
          <w:szCs w:val="28"/>
        </w:rPr>
        <w:t xml:space="preserve"> кафедри </w:t>
      </w:r>
      <w:r w:rsidR="008E42FE" w:rsidRPr="008E42FE">
        <w:rPr>
          <w:rFonts w:ascii="Times New Roman" w:hAnsi="Times New Roman"/>
          <w:sz w:val="28"/>
          <w:szCs w:val="28"/>
        </w:rPr>
        <w:t xml:space="preserve">державних та місцевих </w:t>
      </w:r>
      <w:r w:rsidRPr="008E42FE">
        <w:rPr>
          <w:rFonts w:ascii="Times New Roman" w:hAnsi="Times New Roman"/>
          <w:sz w:val="28"/>
          <w:szCs w:val="28"/>
        </w:rPr>
        <w:t>фінансів,</w:t>
      </w:r>
    </w:p>
    <w:p w:rsidR="00801FA0" w:rsidRPr="008E42FE" w:rsidRDefault="008E42FE" w:rsidP="008E42FE">
      <w:pPr>
        <w:spacing w:after="0" w:line="360" w:lineRule="auto"/>
        <w:ind w:firstLine="374"/>
        <w:jc w:val="right"/>
        <w:rPr>
          <w:rFonts w:ascii="Times New Roman" w:hAnsi="Times New Roman"/>
          <w:sz w:val="28"/>
          <w:szCs w:val="28"/>
        </w:rPr>
      </w:pPr>
      <w:r w:rsidRPr="008E42FE">
        <w:rPr>
          <w:rFonts w:ascii="Times New Roman" w:hAnsi="Times New Roman"/>
          <w:sz w:val="28"/>
          <w:szCs w:val="28"/>
        </w:rPr>
        <w:t>Факультет управління фінансами та бізнесу</w:t>
      </w:r>
    </w:p>
    <w:p w:rsidR="00801FA0" w:rsidRPr="008E42FE" w:rsidRDefault="008E42FE" w:rsidP="008E42FE">
      <w:pPr>
        <w:spacing w:after="0" w:line="360" w:lineRule="auto"/>
        <w:ind w:firstLine="374"/>
        <w:jc w:val="right"/>
        <w:rPr>
          <w:rFonts w:ascii="Times New Roman" w:hAnsi="Times New Roman"/>
          <w:sz w:val="28"/>
          <w:szCs w:val="28"/>
        </w:rPr>
      </w:pPr>
      <w:r w:rsidRPr="008E42FE">
        <w:rPr>
          <w:rFonts w:ascii="Times New Roman" w:hAnsi="Times New Roman"/>
          <w:sz w:val="28"/>
          <w:szCs w:val="28"/>
        </w:rPr>
        <w:t>Львівського</w:t>
      </w:r>
      <w:r w:rsidR="00801FA0" w:rsidRPr="008E42FE">
        <w:rPr>
          <w:rFonts w:ascii="Times New Roman" w:hAnsi="Times New Roman"/>
          <w:sz w:val="28"/>
          <w:szCs w:val="28"/>
        </w:rPr>
        <w:t xml:space="preserve"> національного університету імені </w:t>
      </w:r>
      <w:r w:rsidRPr="008E42FE">
        <w:rPr>
          <w:rFonts w:ascii="Times New Roman" w:hAnsi="Times New Roman"/>
          <w:sz w:val="28"/>
          <w:szCs w:val="28"/>
        </w:rPr>
        <w:t>І.Франка</w:t>
      </w:r>
    </w:p>
    <w:p w:rsidR="008E42FE" w:rsidRPr="008E42FE" w:rsidRDefault="008E42FE" w:rsidP="008E42FE">
      <w:pPr>
        <w:spacing w:after="0" w:line="360" w:lineRule="auto"/>
        <w:ind w:firstLine="374"/>
        <w:jc w:val="right"/>
        <w:rPr>
          <w:rFonts w:ascii="Times New Roman" w:hAnsi="Times New Roman"/>
          <w:sz w:val="28"/>
          <w:szCs w:val="28"/>
        </w:rPr>
      </w:pPr>
      <w:proofErr w:type="spellStart"/>
      <w:r w:rsidRPr="008E42FE">
        <w:rPr>
          <w:rFonts w:ascii="Times New Roman" w:hAnsi="Times New Roman"/>
          <w:b/>
          <w:sz w:val="28"/>
          <w:szCs w:val="28"/>
        </w:rPr>
        <w:t>Войтович</w:t>
      </w:r>
      <w:proofErr w:type="spellEnd"/>
      <w:r w:rsidRPr="008E42FE">
        <w:rPr>
          <w:rFonts w:ascii="Times New Roman" w:hAnsi="Times New Roman"/>
          <w:b/>
          <w:sz w:val="28"/>
          <w:szCs w:val="28"/>
        </w:rPr>
        <w:t xml:space="preserve"> Володимир Володимирович</w:t>
      </w:r>
      <w:r w:rsidRPr="008E42FE">
        <w:rPr>
          <w:rFonts w:ascii="Times New Roman" w:hAnsi="Times New Roman"/>
          <w:sz w:val="28"/>
          <w:szCs w:val="28"/>
        </w:rPr>
        <w:t>,</w:t>
      </w:r>
    </w:p>
    <w:p w:rsidR="008E42FE" w:rsidRPr="008E42FE" w:rsidRDefault="008E42FE" w:rsidP="008E42FE">
      <w:pPr>
        <w:spacing w:after="0" w:line="360" w:lineRule="auto"/>
        <w:ind w:firstLine="374"/>
        <w:jc w:val="right"/>
        <w:rPr>
          <w:rFonts w:ascii="Times New Roman" w:hAnsi="Times New Roman"/>
          <w:sz w:val="28"/>
          <w:szCs w:val="28"/>
        </w:rPr>
      </w:pPr>
      <w:r w:rsidRPr="008E42FE">
        <w:rPr>
          <w:rFonts w:ascii="Times New Roman" w:hAnsi="Times New Roman"/>
          <w:sz w:val="28"/>
          <w:szCs w:val="28"/>
        </w:rPr>
        <w:t>магістр</w:t>
      </w:r>
      <w:r w:rsidRPr="008E42FE">
        <w:rPr>
          <w:rFonts w:ascii="Times New Roman" w:hAnsi="Times New Roman"/>
          <w:sz w:val="28"/>
          <w:szCs w:val="28"/>
        </w:rPr>
        <w:t xml:space="preserve"> кафедри державних та місцевих фінансів,</w:t>
      </w:r>
    </w:p>
    <w:p w:rsidR="008E42FE" w:rsidRPr="008E42FE" w:rsidRDefault="008E42FE" w:rsidP="008E42FE">
      <w:pPr>
        <w:spacing w:after="0" w:line="360" w:lineRule="auto"/>
        <w:ind w:firstLine="374"/>
        <w:jc w:val="right"/>
        <w:rPr>
          <w:rFonts w:ascii="Times New Roman" w:hAnsi="Times New Roman"/>
          <w:sz w:val="28"/>
          <w:szCs w:val="28"/>
        </w:rPr>
      </w:pPr>
      <w:r w:rsidRPr="008E42FE">
        <w:rPr>
          <w:rFonts w:ascii="Times New Roman" w:hAnsi="Times New Roman"/>
          <w:sz w:val="28"/>
          <w:szCs w:val="28"/>
        </w:rPr>
        <w:t>Факультет управління фінансами та бізнесу</w:t>
      </w:r>
    </w:p>
    <w:p w:rsidR="008E42FE" w:rsidRPr="008E42FE" w:rsidRDefault="008E42FE" w:rsidP="008E42FE">
      <w:pPr>
        <w:spacing w:after="0" w:line="360" w:lineRule="auto"/>
        <w:ind w:firstLine="374"/>
        <w:jc w:val="right"/>
        <w:rPr>
          <w:rFonts w:ascii="Times New Roman" w:hAnsi="Times New Roman"/>
          <w:sz w:val="28"/>
          <w:szCs w:val="28"/>
        </w:rPr>
      </w:pPr>
      <w:r w:rsidRPr="008E42FE">
        <w:rPr>
          <w:rFonts w:ascii="Times New Roman" w:hAnsi="Times New Roman"/>
          <w:sz w:val="28"/>
          <w:szCs w:val="28"/>
        </w:rPr>
        <w:t>Львівського національного університету імені І.Франка</w:t>
      </w:r>
    </w:p>
    <w:p w:rsidR="00801FA0" w:rsidRPr="008E42FE" w:rsidRDefault="00801FA0" w:rsidP="008E42FE">
      <w:pPr>
        <w:spacing w:after="0" w:line="360" w:lineRule="auto"/>
        <w:ind w:firstLine="374"/>
        <w:jc w:val="both"/>
        <w:rPr>
          <w:rFonts w:ascii="Times New Roman" w:hAnsi="Times New Roman"/>
          <w:sz w:val="28"/>
          <w:szCs w:val="28"/>
        </w:rPr>
      </w:pPr>
    </w:p>
    <w:p w:rsidR="00801FA0" w:rsidRPr="008E42FE" w:rsidRDefault="00A06EF5" w:rsidP="008E42FE">
      <w:pPr>
        <w:spacing w:after="0" w:line="360" w:lineRule="auto"/>
        <w:ind w:firstLine="374"/>
        <w:jc w:val="center"/>
        <w:rPr>
          <w:rFonts w:ascii="Times New Roman" w:hAnsi="Times New Roman"/>
          <w:b/>
          <w:sz w:val="28"/>
          <w:szCs w:val="28"/>
        </w:rPr>
      </w:pPr>
      <w:r>
        <w:rPr>
          <w:rFonts w:ascii="Times New Roman" w:hAnsi="Times New Roman"/>
          <w:b/>
          <w:sz w:val="28"/>
          <w:szCs w:val="28"/>
        </w:rPr>
        <w:t>ЗРОСТАННЯ ДОХОДІВ МІСЦЕВИХ БЮДЖЕТІВ – ШЛЯХ ДО ЕКОНОМІЧНОЇ САМОСТІЙНОСТІ РЕГІОНУ</w:t>
      </w:r>
    </w:p>
    <w:p w:rsidR="008E42FE" w:rsidRPr="008E42FE" w:rsidRDefault="008E42FE" w:rsidP="00A06EF5">
      <w:pPr>
        <w:spacing w:after="0" w:line="360" w:lineRule="auto"/>
        <w:jc w:val="both"/>
        <w:rPr>
          <w:rFonts w:ascii="Times New Roman" w:hAnsi="Times New Roman"/>
          <w:sz w:val="28"/>
          <w:szCs w:val="28"/>
        </w:rPr>
      </w:pPr>
      <w:r w:rsidRPr="008E42FE">
        <w:rPr>
          <w:rFonts w:ascii="Times New Roman" w:hAnsi="Times New Roman"/>
          <w:sz w:val="28"/>
          <w:szCs w:val="28"/>
        </w:rPr>
        <w:tab/>
        <w:t>Проблема фінансового забезпечення розвитку територій стоїть фактично перед усіма країнами. Її суть у тому, що адміністративно-територіальні утворення, на які поділена кожна держава, мають різну податкову базу і фінансовий потенціал. Це наслідок нерівномірності територіального розміщення природно-ресурсного потенціалу та продуктивних сил.</w:t>
      </w:r>
      <w:r w:rsidR="00A06EF5">
        <w:rPr>
          <w:rFonts w:ascii="Times New Roman" w:hAnsi="Times New Roman"/>
          <w:sz w:val="28"/>
          <w:szCs w:val="28"/>
        </w:rPr>
        <w:t xml:space="preserve"> </w:t>
      </w:r>
      <w:r w:rsidRPr="008E42FE">
        <w:rPr>
          <w:rFonts w:ascii="Times New Roman" w:hAnsi="Times New Roman"/>
          <w:sz w:val="28"/>
          <w:szCs w:val="28"/>
        </w:rPr>
        <w:t>В сучасних умовах подолання кризи подальший розвиток України значною мірою залежить від вибору відповідної стратегії посилення ролі територіального управління. Тому важли</w:t>
      </w:r>
      <w:r w:rsidR="00A06EF5">
        <w:rPr>
          <w:rFonts w:ascii="Times New Roman" w:hAnsi="Times New Roman"/>
          <w:sz w:val="28"/>
          <w:szCs w:val="28"/>
        </w:rPr>
        <w:t xml:space="preserve">вого значення набувають </w:t>
      </w:r>
      <w:proofErr w:type="spellStart"/>
      <w:r w:rsidR="00A06EF5">
        <w:rPr>
          <w:rFonts w:ascii="Times New Roman" w:hAnsi="Times New Roman"/>
          <w:sz w:val="28"/>
          <w:szCs w:val="28"/>
        </w:rPr>
        <w:t>науково-</w:t>
      </w:r>
      <w:r w:rsidRPr="008E42FE">
        <w:rPr>
          <w:rFonts w:ascii="Times New Roman" w:hAnsi="Times New Roman"/>
          <w:sz w:val="28"/>
          <w:szCs w:val="28"/>
        </w:rPr>
        <w:t>обгрунтовані</w:t>
      </w:r>
      <w:proofErr w:type="spellEnd"/>
      <w:r w:rsidRPr="008E42FE">
        <w:rPr>
          <w:rFonts w:ascii="Times New Roman" w:hAnsi="Times New Roman"/>
          <w:sz w:val="28"/>
          <w:szCs w:val="28"/>
        </w:rPr>
        <w:t xml:space="preserve"> регіональні орієнтири економічного росту, які відображають перспективну соціально-економічну модель території з врахуванням її потенціалу, специфіки, ключових економічних, соціальних, екологічних проблем.</w:t>
      </w:r>
    </w:p>
    <w:p w:rsidR="008E42FE" w:rsidRPr="008E42FE" w:rsidRDefault="008E42FE" w:rsidP="00A06EF5">
      <w:pPr>
        <w:spacing w:after="0" w:line="360" w:lineRule="auto"/>
        <w:ind w:firstLine="708"/>
        <w:jc w:val="both"/>
        <w:rPr>
          <w:rFonts w:ascii="Times New Roman" w:hAnsi="Times New Roman"/>
          <w:sz w:val="28"/>
          <w:szCs w:val="28"/>
        </w:rPr>
      </w:pPr>
      <w:r w:rsidRPr="008E42FE">
        <w:rPr>
          <w:rFonts w:ascii="Times New Roman" w:hAnsi="Times New Roman"/>
          <w:sz w:val="28"/>
          <w:szCs w:val="28"/>
        </w:rPr>
        <w:t xml:space="preserve">Практика господарювання свідчить про  необхідність вироблення власної економічної концепції регіонального розвитку, що буде сприяти посиленню самостійності </w:t>
      </w:r>
      <w:r w:rsidR="00A06EF5">
        <w:rPr>
          <w:rFonts w:ascii="Times New Roman" w:hAnsi="Times New Roman"/>
          <w:sz w:val="28"/>
          <w:szCs w:val="28"/>
        </w:rPr>
        <w:t xml:space="preserve">регіону. </w:t>
      </w:r>
      <w:r w:rsidRPr="008E42FE">
        <w:rPr>
          <w:rFonts w:ascii="Times New Roman" w:hAnsi="Times New Roman"/>
          <w:sz w:val="28"/>
          <w:szCs w:val="28"/>
        </w:rPr>
        <w:t xml:space="preserve"> Активний вплив місцевого самоврядування на формування нових суспільних відносин можливий лише в тому разі, якщо воно матиме у своєму розпорядженні достатню кількість фінансових ресурсів. Доходи місцевих бюджетів є складовою державних доходів і публічними фінансовими ресурсами місцевих органів влади. Доходи місцевих бюджетів становлять фінансову основу </w:t>
      </w:r>
      <w:r w:rsidRPr="008E42FE">
        <w:rPr>
          <w:rFonts w:ascii="Times New Roman" w:hAnsi="Times New Roman"/>
          <w:sz w:val="28"/>
          <w:szCs w:val="28"/>
        </w:rPr>
        <w:lastRenderedPageBreak/>
        <w:t>місцевого самоврядування. За своїм змістом вони формуються у процесі суспільного відтворення і мобілізуються органами місцевої влади як доходи відповідної адміністративно-територіальної одиниці.</w:t>
      </w:r>
    </w:p>
    <w:p w:rsidR="008E42FE" w:rsidRPr="008E42FE" w:rsidRDefault="008E42FE" w:rsidP="008E42FE">
      <w:pPr>
        <w:spacing w:after="0" w:line="360" w:lineRule="auto"/>
        <w:ind w:left="40" w:firstLine="680"/>
        <w:jc w:val="both"/>
        <w:rPr>
          <w:rFonts w:ascii="Times New Roman" w:hAnsi="Times New Roman"/>
          <w:sz w:val="28"/>
          <w:szCs w:val="28"/>
        </w:rPr>
      </w:pPr>
      <w:r w:rsidRPr="008E42FE">
        <w:rPr>
          <w:rFonts w:ascii="Times New Roman" w:hAnsi="Times New Roman"/>
          <w:snapToGrid w:val="0"/>
          <w:sz w:val="28"/>
          <w:szCs w:val="28"/>
        </w:rPr>
        <w:t>Передумовою фінансової незалежності місцевого самоврядування є розуміння, з точки зору економічної доцільності, децентралізації влади і адекватний розподіл повноважень відповідальності, а отже, і фінансово-економічної бази між центром, регіонами та місцевими органами управління. Межі фінансової незалежності місцевого самоврядування завжди повинні визначатися у законодавчому порядку, тобто закон повинен чітко окреслювати функції місцевого самоврядування і відповідно до них джерела ресурсів, які становитимуть фінансове забезпечення цих функцій.</w:t>
      </w:r>
    </w:p>
    <w:p w:rsidR="008E42FE" w:rsidRPr="008E42FE" w:rsidRDefault="008E42FE" w:rsidP="008E42FE">
      <w:pPr>
        <w:spacing w:after="0" w:line="360" w:lineRule="auto"/>
        <w:ind w:left="40" w:firstLine="680"/>
        <w:jc w:val="both"/>
        <w:rPr>
          <w:rFonts w:ascii="Times New Roman" w:hAnsi="Times New Roman"/>
          <w:sz w:val="28"/>
          <w:szCs w:val="28"/>
        </w:rPr>
      </w:pPr>
      <w:r w:rsidRPr="008E42FE">
        <w:rPr>
          <w:rFonts w:ascii="Times New Roman" w:hAnsi="Times New Roman"/>
          <w:snapToGrid w:val="0"/>
          <w:sz w:val="28"/>
          <w:szCs w:val="28"/>
        </w:rPr>
        <w:t>У сфері організації місцевих фінансів десятиліттями накопичувалися проблеми, вирішення яких вимагало радикальних змін в бюджетній політиці держави. До найбільш ак</w:t>
      </w:r>
      <w:r w:rsidRPr="008E42FE">
        <w:rPr>
          <w:rFonts w:ascii="Times New Roman" w:hAnsi="Times New Roman"/>
          <w:snapToGrid w:val="0"/>
          <w:sz w:val="28"/>
          <w:szCs w:val="28"/>
        </w:rPr>
        <w:softHyphen/>
        <w:t>туальних можна віднести:</w:t>
      </w:r>
    </w:p>
    <w:p w:rsidR="008E42FE" w:rsidRPr="008E42FE" w:rsidRDefault="008E42FE" w:rsidP="008E42FE">
      <w:pPr>
        <w:pStyle w:val="a5"/>
        <w:numPr>
          <w:ilvl w:val="0"/>
          <w:numId w:val="1"/>
        </w:numPr>
        <w:spacing w:line="360" w:lineRule="auto"/>
        <w:jc w:val="both"/>
        <w:rPr>
          <w:sz w:val="28"/>
          <w:szCs w:val="28"/>
        </w:rPr>
      </w:pPr>
      <w:r w:rsidRPr="008E42FE">
        <w:rPr>
          <w:snapToGrid w:val="0"/>
          <w:sz w:val="28"/>
          <w:szCs w:val="28"/>
        </w:rPr>
        <w:t>відсутність чіткого розподілу між органами влади повноважень на здійснення ви</w:t>
      </w:r>
      <w:r w:rsidRPr="008E42FE">
        <w:rPr>
          <w:snapToGrid w:val="0"/>
          <w:sz w:val="28"/>
          <w:szCs w:val="28"/>
        </w:rPr>
        <w:softHyphen/>
        <w:t>датків та відповідальності місцевих органів влади перед населенням за вирішення питань, віднесених законом до їх компетенції;</w:t>
      </w:r>
    </w:p>
    <w:p w:rsidR="008E42FE" w:rsidRPr="008E42FE" w:rsidRDefault="008E42FE" w:rsidP="008E42FE">
      <w:pPr>
        <w:pStyle w:val="a5"/>
        <w:numPr>
          <w:ilvl w:val="0"/>
          <w:numId w:val="1"/>
        </w:numPr>
        <w:spacing w:line="360" w:lineRule="auto"/>
        <w:jc w:val="both"/>
        <w:rPr>
          <w:sz w:val="28"/>
          <w:szCs w:val="28"/>
        </w:rPr>
      </w:pPr>
      <w:r w:rsidRPr="008E42FE">
        <w:rPr>
          <w:snapToGrid w:val="0"/>
          <w:sz w:val="28"/>
          <w:szCs w:val="28"/>
        </w:rPr>
        <w:t>відсутність зацікавленості місцевих органів влади у збільшенні надходжень до усіх бюджетів;</w:t>
      </w:r>
    </w:p>
    <w:p w:rsidR="008E42FE" w:rsidRPr="008E42FE" w:rsidRDefault="008E42FE" w:rsidP="008E42FE">
      <w:pPr>
        <w:pStyle w:val="a5"/>
        <w:numPr>
          <w:ilvl w:val="0"/>
          <w:numId w:val="1"/>
        </w:numPr>
        <w:spacing w:line="360" w:lineRule="auto"/>
        <w:jc w:val="both"/>
        <w:rPr>
          <w:sz w:val="28"/>
          <w:szCs w:val="28"/>
        </w:rPr>
      </w:pPr>
      <w:r w:rsidRPr="008E42FE">
        <w:rPr>
          <w:snapToGrid w:val="0"/>
          <w:sz w:val="28"/>
          <w:szCs w:val="28"/>
        </w:rPr>
        <w:t>відсутність правової бази щодо визначення відповідальності за порушення бюджетного законодавства та бюджетної дисципліни</w:t>
      </w:r>
      <w:r w:rsidR="00A06EF5">
        <w:rPr>
          <w:snapToGrid w:val="0"/>
          <w:sz w:val="28"/>
          <w:szCs w:val="28"/>
        </w:rPr>
        <w:t xml:space="preserve"> </w:t>
      </w:r>
      <w:r w:rsidR="00A06EF5" w:rsidRPr="008E42FE">
        <w:rPr>
          <w:sz w:val="28"/>
          <w:szCs w:val="28"/>
        </w:rPr>
        <w:t xml:space="preserve">[1, с. </w:t>
      </w:r>
      <w:r w:rsidR="00B901B8">
        <w:rPr>
          <w:sz w:val="28"/>
          <w:szCs w:val="28"/>
        </w:rPr>
        <w:t>39</w:t>
      </w:r>
      <w:r w:rsidR="00A06EF5" w:rsidRPr="008E42FE">
        <w:rPr>
          <w:sz w:val="28"/>
          <w:szCs w:val="28"/>
        </w:rPr>
        <w:t>]</w:t>
      </w:r>
      <w:r w:rsidRPr="008E42FE">
        <w:rPr>
          <w:snapToGrid w:val="0"/>
          <w:sz w:val="28"/>
          <w:szCs w:val="28"/>
        </w:rPr>
        <w:t>.</w:t>
      </w:r>
    </w:p>
    <w:p w:rsidR="008E42FE" w:rsidRPr="008E42FE" w:rsidRDefault="008E42FE" w:rsidP="008E42FE">
      <w:pPr>
        <w:spacing w:after="0" w:line="360" w:lineRule="auto"/>
        <w:ind w:firstLine="708"/>
        <w:jc w:val="both"/>
        <w:rPr>
          <w:rFonts w:ascii="Times New Roman" w:hAnsi="Times New Roman"/>
          <w:sz w:val="28"/>
          <w:szCs w:val="28"/>
        </w:rPr>
      </w:pPr>
      <w:r w:rsidRPr="008E42FE">
        <w:rPr>
          <w:rFonts w:ascii="Times New Roman" w:hAnsi="Times New Roman"/>
          <w:snapToGrid w:val="0"/>
          <w:sz w:val="28"/>
          <w:szCs w:val="28"/>
        </w:rPr>
        <w:t>Для подолання негативних тенденцій та посилення самостійності  регіону необхідно вжити цілий ряд заходів:</w:t>
      </w:r>
    </w:p>
    <w:p w:rsidR="008E42FE" w:rsidRPr="008E42FE" w:rsidRDefault="008E42FE" w:rsidP="008E42FE">
      <w:pPr>
        <w:pStyle w:val="a5"/>
        <w:numPr>
          <w:ilvl w:val="0"/>
          <w:numId w:val="2"/>
        </w:numPr>
        <w:spacing w:line="360" w:lineRule="auto"/>
        <w:jc w:val="both"/>
        <w:rPr>
          <w:sz w:val="28"/>
          <w:szCs w:val="28"/>
        </w:rPr>
      </w:pPr>
      <w:r w:rsidRPr="008E42FE">
        <w:rPr>
          <w:snapToGrid w:val="0"/>
          <w:sz w:val="28"/>
          <w:szCs w:val="28"/>
        </w:rPr>
        <w:t>посилення ролі планування та прогнозуванн</w:t>
      </w:r>
      <w:r w:rsidR="00A06EF5">
        <w:rPr>
          <w:snapToGrid w:val="0"/>
          <w:sz w:val="28"/>
          <w:szCs w:val="28"/>
        </w:rPr>
        <w:t>я для зростання доходів бюджету</w:t>
      </w:r>
      <w:r w:rsidRPr="008E42FE">
        <w:rPr>
          <w:snapToGrid w:val="0"/>
          <w:sz w:val="28"/>
          <w:szCs w:val="28"/>
        </w:rPr>
        <w:t>;</w:t>
      </w:r>
    </w:p>
    <w:p w:rsidR="008E42FE" w:rsidRPr="008E42FE" w:rsidRDefault="008E42FE" w:rsidP="008E42FE">
      <w:pPr>
        <w:pStyle w:val="a5"/>
        <w:numPr>
          <w:ilvl w:val="0"/>
          <w:numId w:val="2"/>
        </w:numPr>
        <w:spacing w:line="360" w:lineRule="auto"/>
        <w:jc w:val="both"/>
        <w:rPr>
          <w:sz w:val="28"/>
          <w:szCs w:val="28"/>
        </w:rPr>
      </w:pPr>
      <w:r w:rsidRPr="008E42FE">
        <w:rPr>
          <w:snapToGrid w:val="0"/>
          <w:sz w:val="28"/>
          <w:szCs w:val="28"/>
        </w:rPr>
        <w:t>використання досвіду зарубіжних країн в</w:t>
      </w:r>
      <w:r w:rsidR="00A06EF5">
        <w:rPr>
          <w:snapToGrid w:val="0"/>
          <w:sz w:val="28"/>
          <w:szCs w:val="28"/>
        </w:rPr>
        <w:t xml:space="preserve"> організації бюджетних відносин</w:t>
      </w:r>
      <w:r w:rsidRPr="008E42FE">
        <w:rPr>
          <w:snapToGrid w:val="0"/>
          <w:sz w:val="28"/>
          <w:szCs w:val="28"/>
        </w:rPr>
        <w:t>;</w:t>
      </w:r>
    </w:p>
    <w:p w:rsidR="008E42FE" w:rsidRPr="008E42FE" w:rsidRDefault="008E42FE" w:rsidP="008E42FE">
      <w:pPr>
        <w:pStyle w:val="a5"/>
        <w:numPr>
          <w:ilvl w:val="0"/>
          <w:numId w:val="2"/>
        </w:numPr>
        <w:spacing w:line="360" w:lineRule="auto"/>
        <w:jc w:val="both"/>
        <w:rPr>
          <w:sz w:val="28"/>
          <w:szCs w:val="28"/>
        </w:rPr>
      </w:pPr>
      <w:r w:rsidRPr="008E42FE">
        <w:rPr>
          <w:snapToGrid w:val="0"/>
          <w:sz w:val="28"/>
          <w:szCs w:val="28"/>
        </w:rPr>
        <w:t>забезпечення розпорядниками  бюджетних коштів використання асигнувань за цільовим призначенням, підвищення ефективності кожної гривні;</w:t>
      </w:r>
    </w:p>
    <w:p w:rsidR="008E42FE" w:rsidRPr="008E42FE" w:rsidRDefault="008E42FE" w:rsidP="008E42FE">
      <w:pPr>
        <w:pStyle w:val="a5"/>
        <w:numPr>
          <w:ilvl w:val="0"/>
          <w:numId w:val="2"/>
        </w:numPr>
        <w:spacing w:line="360" w:lineRule="auto"/>
        <w:jc w:val="both"/>
        <w:rPr>
          <w:sz w:val="28"/>
          <w:szCs w:val="28"/>
        </w:rPr>
      </w:pPr>
      <w:r w:rsidRPr="008E42FE">
        <w:rPr>
          <w:snapToGrid w:val="0"/>
          <w:sz w:val="28"/>
          <w:szCs w:val="28"/>
        </w:rPr>
        <w:t>покращення розрахунків з бюджетом по платежах і з працівниками підприємств та господарських організацій з оплати праці;</w:t>
      </w:r>
    </w:p>
    <w:p w:rsidR="008E42FE" w:rsidRPr="008E42FE" w:rsidRDefault="008E42FE" w:rsidP="008E42FE">
      <w:pPr>
        <w:pStyle w:val="a5"/>
        <w:numPr>
          <w:ilvl w:val="0"/>
          <w:numId w:val="2"/>
        </w:numPr>
        <w:spacing w:line="360" w:lineRule="auto"/>
        <w:jc w:val="both"/>
        <w:rPr>
          <w:sz w:val="28"/>
          <w:szCs w:val="28"/>
        </w:rPr>
      </w:pPr>
      <w:r w:rsidRPr="008E42FE">
        <w:rPr>
          <w:snapToGrid w:val="0"/>
          <w:sz w:val="28"/>
          <w:szCs w:val="28"/>
        </w:rPr>
        <w:lastRenderedPageBreak/>
        <w:t>ліквідація недоїмки з податкових платежів;</w:t>
      </w:r>
    </w:p>
    <w:p w:rsidR="008E42FE" w:rsidRPr="008E42FE" w:rsidRDefault="008E42FE" w:rsidP="008E42FE">
      <w:pPr>
        <w:pStyle w:val="a5"/>
        <w:numPr>
          <w:ilvl w:val="0"/>
          <w:numId w:val="2"/>
        </w:numPr>
        <w:spacing w:line="360" w:lineRule="auto"/>
        <w:jc w:val="both"/>
        <w:rPr>
          <w:sz w:val="28"/>
          <w:szCs w:val="28"/>
        </w:rPr>
      </w:pPr>
      <w:r w:rsidRPr="008E42FE">
        <w:rPr>
          <w:snapToGrid w:val="0"/>
          <w:sz w:val="28"/>
          <w:szCs w:val="28"/>
        </w:rPr>
        <w:t>вжиття додаткових заходів щодо нарощування обсягів виробництва, його інтенсифікації</w:t>
      </w:r>
      <w:r w:rsidR="00B901B8">
        <w:rPr>
          <w:snapToGrid w:val="0"/>
          <w:sz w:val="28"/>
          <w:szCs w:val="28"/>
        </w:rPr>
        <w:t xml:space="preserve"> </w:t>
      </w:r>
      <w:r w:rsidR="00B901B8" w:rsidRPr="008E42FE">
        <w:rPr>
          <w:sz w:val="28"/>
          <w:szCs w:val="28"/>
        </w:rPr>
        <w:t>[</w:t>
      </w:r>
      <w:r w:rsidR="00B901B8">
        <w:rPr>
          <w:sz w:val="28"/>
          <w:szCs w:val="28"/>
        </w:rPr>
        <w:t>3</w:t>
      </w:r>
      <w:r w:rsidR="00B901B8" w:rsidRPr="008E42FE">
        <w:rPr>
          <w:sz w:val="28"/>
          <w:szCs w:val="28"/>
        </w:rPr>
        <w:t xml:space="preserve">, с. </w:t>
      </w:r>
      <w:r w:rsidR="00B901B8">
        <w:rPr>
          <w:sz w:val="28"/>
          <w:szCs w:val="28"/>
        </w:rPr>
        <w:t>31</w:t>
      </w:r>
      <w:r w:rsidR="00B901B8" w:rsidRPr="008E42FE">
        <w:rPr>
          <w:sz w:val="28"/>
          <w:szCs w:val="28"/>
        </w:rPr>
        <w:t>]</w:t>
      </w:r>
      <w:r w:rsidRPr="008E42FE">
        <w:rPr>
          <w:snapToGrid w:val="0"/>
          <w:sz w:val="28"/>
          <w:szCs w:val="28"/>
        </w:rPr>
        <w:t>.</w:t>
      </w:r>
    </w:p>
    <w:p w:rsidR="008E42FE" w:rsidRPr="008E42FE" w:rsidRDefault="008E42FE" w:rsidP="008E42FE">
      <w:pPr>
        <w:spacing w:after="0" w:line="360" w:lineRule="auto"/>
        <w:ind w:firstLine="708"/>
        <w:jc w:val="both"/>
        <w:rPr>
          <w:rFonts w:ascii="Times New Roman" w:hAnsi="Times New Roman"/>
          <w:sz w:val="28"/>
          <w:szCs w:val="28"/>
        </w:rPr>
      </w:pPr>
      <w:r w:rsidRPr="008E42FE">
        <w:rPr>
          <w:rFonts w:ascii="Times New Roman" w:hAnsi="Times New Roman"/>
          <w:snapToGrid w:val="0"/>
          <w:sz w:val="28"/>
          <w:szCs w:val="28"/>
        </w:rPr>
        <w:t>Таким чином, місцеві бюджети слід розглядати як важливу фінансову категорію, основу якої становить система фінансових відносин, а саме: відносини між місцевими бюджетами і господарськими структурами, що функціонують на даній території; відносини між бюджетами і населенням даної території, що складаються при мобілізації й витрачанні коштів місцевих бюджетів; відносини між місцевими бюджетами різних рівнів щодо перерозподілу фінансових ресурсів; відносини між місцевими бюджетами і державним бюджетом.</w:t>
      </w:r>
    </w:p>
    <w:p w:rsidR="008E42FE" w:rsidRPr="008E42FE" w:rsidRDefault="008E42FE" w:rsidP="008E42FE">
      <w:pPr>
        <w:spacing w:after="0" w:line="360" w:lineRule="auto"/>
        <w:ind w:left="40" w:firstLine="680"/>
        <w:jc w:val="both"/>
        <w:rPr>
          <w:rFonts w:ascii="Times New Roman" w:hAnsi="Times New Roman"/>
          <w:sz w:val="28"/>
          <w:szCs w:val="28"/>
        </w:rPr>
      </w:pPr>
      <w:r w:rsidRPr="008E42FE">
        <w:rPr>
          <w:rFonts w:ascii="Times New Roman" w:hAnsi="Times New Roman"/>
          <w:snapToGrid w:val="0"/>
          <w:sz w:val="28"/>
          <w:szCs w:val="28"/>
        </w:rPr>
        <w:t>Передумовою фінансової незалежності місцевого самоврядування є розуміння, з точки зору економічної доцільності, децентралізації влади і адекватний розподіл повноважень відповідальності, а отже, і фінансово-економічної бази між центром, регіонами та місцевими органами управління. Межі фінансової незалежності місцевого самоврядування завжди повинні визначатися у законодавчому порядку, тобто закон повинен чітко окреслювати функції місцевого самоврядування і відповідно до них джерела ресурсів, які становитимуть фінансове забезпечення цих функцій</w:t>
      </w:r>
      <w:r w:rsidR="00B901B8">
        <w:rPr>
          <w:rFonts w:ascii="Times New Roman" w:hAnsi="Times New Roman"/>
          <w:snapToGrid w:val="0"/>
          <w:sz w:val="28"/>
          <w:szCs w:val="28"/>
        </w:rPr>
        <w:t xml:space="preserve"> </w:t>
      </w:r>
      <w:r w:rsidR="00B901B8" w:rsidRPr="008E42FE">
        <w:rPr>
          <w:rFonts w:ascii="Times New Roman" w:hAnsi="Times New Roman"/>
          <w:sz w:val="28"/>
          <w:szCs w:val="28"/>
        </w:rPr>
        <w:t>[</w:t>
      </w:r>
      <w:r w:rsidR="00B901B8">
        <w:rPr>
          <w:rFonts w:ascii="Times New Roman" w:hAnsi="Times New Roman"/>
          <w:sz w:val="28"/>
          <w:szCs w:val="28"/>
        </w:rPr>
        <w:t>4</w:t>
      </w:r>
      <w:r w:rsidR="00B901B8" w:rsidRPr="008E42FE">
        <w:rPr>
          <w:rFonts w:ascii="Times New Roman" w:hAnsi="Times New Roman"/>
          <w:sz w:val="28"/>
          <w:szCs w:val="28"/>
        </w:rPr>
        <w:t xml:space="preserve">, с. </w:t>
      </w:r>
      <w:r w:rsidR="00B901B8">
        <w:rPr>
          <w:rFonts w:ascii="Times New Roman" w:hAnsi="Times New Roman"/>
          <w:sz w:val="28"/>
          <w:szCs w:val="28"/>
        </w:rPr>
        <w:t>1</w:t>
      </w:r>
      <w:r w:rsidR="00B901B8" w:rsidRPr="008E42FE">
        <w:rPr>
          <w:rFonts w:ascii="Times New Roman" w:hAnsi="Times New Roman"/>
          <w:sz w:val="28"/>
          <w:szCs w:val="28"/>
        </w:rPr>
        <w:t>5]</w:t>
      </w:r>
      <w:r w:rsidRPr="008E42FE">
        <w:rPr>
          <w:rFonts w:ascii="Times New Roman" w:hAnsi="Times New Roman"/>
          <w:snapToGrid w:val="0"/>
          <w:sz w:val="28"/>
          <w:szCs w:val="28"/>
        </w:rPr>
        <w:t>.</w:t>
      </w:r>
    </w:p>
    <w:p w:rsidR="008E42FE" w:rsidRPr="008E42FE" w:rsidRDefault="008E42FE" w:rsidP="008E42FE">
      <w:pPr>
        <w:spacing w:after="0" w:line="360" w:lineRule="auto"/>
        <w:ind w:left="40" w:firstLine="680"/>
        <w:jc w:val="both"/>
        <w:rPr>
          <w:rFonts w:ascii="Times New Roman" w:hAnsi="Times New Roman"/>
          <w:sz w:val="28"/>
          <w:szCs w:val="28"/>
        </w:rPr>
      </w:pPr>
      <w:r w:rsidRPr="008E42FE">
        <w:rPr>
          <w:rFonts w:ascii="Times New Roman" w:hAnsi="Times New Roman"/>
          <w:snapToGrid w:val="0"/>
          <w:sz w:val="28"/>
          <w:szCs w:val="28"/>
        </w:rPr>
        <w:t>У сфері організації місцевих фінансів десятиліттями накопичувалися проблеми, вирішення яких вимагало радикальних змін в бюджетній політиці держави. До найбільш ак</w:t>
      </w:r>
      <w:r w:rsidRPr="008E42FE">
        <w:rPr>
          <w:rFonts w:ascii="Times New Roman" w:hAnsi="Times New Roman"/>
          <w:snapToGrid w:val="0"/>
          <w:sz w:val="28"/>
          <w:szCs w:val="28"/>
        </w:rPr>
        <w:softHyphen/>
        <w:t>туальних можна віднести:</w:t>
      </w:r>
    </w:p>
    <w:p w:rsidR="008E42FE" w:rsidRPr="008E42FE" w:rsidRDefault="008E42FE" w:rsidP="008E42FE">
      <w:pPr>
        <w:pStyle w:val="a5"/>
        <w:numPr>
          <w:ilvl w:val="0"/>
          <w:numId w:val="1"/>
        </w:numPr>
        <w:spacing w:line="360" w:lineRule="auto"/>
        <w:jc w:val="both"/>
        <w:rPr>
          <w:sz w:val="28"/>
          <w:szCs w:val="28"/>
        </w:rPr>
      </w:pPr>
      <w:r w:rsidRPr="008E42FE">
        <w:rPr>
          <w:snapToGrid w:val="0"/>
          <w:sz w:val="28"/>
          <w:szCs w:val="28"/>
        </w:rPr>
        <w:t>відсутність чіткого розподілу між органами влади повноважень на здійснення ви</w:t>
      </w:r>
      <w:r w:rsidRPr="008E42FE">
        <w:rPr>
          <w:snapToGrid w:val="0"/>
          <w:sz w:val="28"/>
          <w:szCs w:val="28"/>
        </w:rPr>
        <w:softHyphen/>
        <w:t>датків та відповідальності місцевих органів влади перед населенням за вирішення питань, віднесених законом до їх компетенції;</w:t>
      </w:r>
    </w:p>
    <w:p w:rsidR="008E42FE" w:rsidRPr="008E42FE" w:rsidRDefault="008E42FE" w:rsidP="008E42FE">
      <w:pPr>
        <w:pStyle w:val="a5"/>
        <w:numPr>
          <w:ilvl w:val="0"/>
          <w:numId w:val="1"/>
        </w:numPr>
        <w:spacing w:line="360" w:lineRule="auto"/>
        <w:jc w:val="both"/>
        <w:rPr>
          <w:sz w:val="28"/>
          <w:szCs w:val="28"/>
        </w:rPr>
      </w:pPr>
      <w:r w:rsidRPr="008E42FE">
        <w:rPr>
          <w:snapToGrid w:val="0"/>
          <w:sz w:val="28"/>
          <w:szCs w:val="28"/>
        </w:rPr>
        <w:t>відсутність зацікавленості місцевих органів влади у збільшенні надходжень до усіх бюджетів;</w:t>
      </w:r>
    </w:p>
    <w:p w:rsidR="008E42FE" w:rsidRPr="008E42FE" w:rsidRDefault="008E42FE" w:rsidP="008E42FE">
      <w:pPr>
        <w:pStyle w:val="a5"/>
        <w:numPr>
          <w:ilvl w:val="0"/>
          <w:numId w:val="1"/>
        </w:numPr>
        <w:spacing w:line="360" w:lineRule="auto"/>
        <w:jc w:val="both"/>
        <w:rPr>
          <w:sz w:val="28"/>
          <w:szCs w:val="28"/>
        </w:rPr>
      </w:pPr>
      <w:r w:rsidRPr="008E42FE">
        <w:rPr>
          <w:snapToGrid w:val="0"/>
          <w:sz w:val="28"/>
          <w:szCs w:val="28"/>
        </w:rPr>
        <w:t>відсутність правової бази щодо визначення відповідальності за порушення бюджетного законодавства та бюджетної дисципліни</w:t>
      </w:r>
      <w:r w:rsidR="00B901B8">
        <w:rPr>
          <w:snapToGrid w:val="0"/>
          <w:sz w:val="28"/>
          <w:szCs w:val="28"/>
        </w:rPr>
        <w:t xml:space="preserve"> </w:t>
      </w:r>
      <w:r w:rsidR="00B901B8" w:rsidRPr="008E42FE">
        <w:rPr>
          <w:sz w:val="28"/>
          <w:szCs w:val="28"/>
        </w:rPr>
        <w:t>[</w:t>
      </w:r>
      <w:r w:rsidR="00B901B8">
        <w:rPr>
          <w:sz w:val="28"/>
          <w:szCs w:val="28"/>
        </w:rPr>
        <w:t>2</w:t>
      </w:r>
      <w:r w:rsidR="00B901B8" w:rsidRPr="008E42FE">
        <w:rPr>
          <w:sz w:val="28"/>
          <w:szCs w:val="28"/>
        </w:rPr>
        <w:t xml:space="preserve">, с. </w:t>
      </w:r>
      <w:r w:rsidR="00B901B8">
        <w:rPr>
          <w:sz w:val="28"/>
          <w:szCs w:val="28"/>
        </w:rPr>
        <w:t>10</w:t>
      </w:r>
      <w:r w:rsidR="00B901B8" w:rsidRPr="008E42FE">
        <w:rPr>
          <w:sz w:val="28"/>
          <w:szCs w:val="28"/>
        </w:rPr>
        <w:t>]</w:t>
      </w:r>
      <w:r w:rsidRPr="008E42FE">
        <w:rPr>
          <w:snapToGrid w:val="0"/>
          <w:sz w:val="28"/>
          <w:szCs w:val="28"/>
        </w:rPr>
        <w:t>.</w:t>
      </w:r>
    </w:p>
    <w:p w:rsidR="008E42FE" w:rsidRPr="008E42FE" w:rsidRDefault="008E42FE" w:rsidP="008E42FE">
      <w:pPr>
        <w:spacing w:after="0" w:line="360" w:lineRule="auto"/>
        <w:ind w:firstLine="708"/>
        <w:jc w:val="both"/>
        <w:rPr>
          <w:rFonts w:ascii="Times New Roman" w:hAnsi="Times New Roman"/>
          <w:sz w:val="28"/>
          <w:szCs w:val="28"/>
        </w:rPr>
      </w:pPr>
      <w:r w:rsidRPr="008E42FE">
        <w:rPr>
          <w:rFonts w:ascii="Times New Roman" w:hAnsi="Times New Roman"/>
          <w:snapToGrid w:val="0"/>
          <w:sz w:val="28"/>
          <w:szCs w:val="28"/>
        </w:rPr>
        <w:t>Для подолання негативних тенденцій та посилення самостійності  регіону необхідно вжити цілий ряд заходів:</w:t>
      </w:r>
    </w:p>
    <w:p w:rsidR="008E42FE" w:rsidRPr="008E42FE" w:rsidRDefault="008E42FE" w:rsidP="008E42FE">
      <w:pPr>
        <w:pStyle w:val="a5"/>
        <w:numPr>
          <w:ilvl w:val="0"/>
          <w:numId w:val="2"/>
        </w:numPr>
        <w:spacing w:line="360" w:lineRule="auto"/>
        <w:jc w:val="both"/>
        <w:rPr>
          <w:sz w:val="28"/>
          <w:szCs w:val="28"/>
        </w:rPr>
      </w:pPr>
      <w:r w:rsidRPr="008E42FE">
        <w:rPr>
          <w:snapToGrid w:val="0"/>
          <w:sz w:val="28"/>
          <w:szCs w:val="28"/>
        </w:rPr>
        <w:lastRenderedPageBreak/>
        <w:t>посилення ролі планування та прогнозування для зростання доходів бюджету. Цільове фінансування  капіталовкладень та кредити на інвестиційні  проекти створюють потребу своєчасного планування витрат на утримання цих об'єктів у майбутньому та інших операційних витрат, пов'язаних з їх експлуатацією. Фінансові прогнози доходів і видатків пов’язують річний дохід з капітальним бюджетуванням, борговим плануванням та соціально-економічним розвитком. Прогнозування розраховує майбутній вплив поточних рішень, програм і політики та визначає і аналізує можливості збалансування доходів і видатків;</w:t>
      </w:r>
    </w:p>
    <w:p w:rsidR="008E42FE" w:rsidRPr="008E42FE" w:rsidRDefault="008E42FE" w:rsidP="008E42FE">
      <w:pPr>
        <w:pStyle w:val="a5"/>
        <w:numPr>
          <w:ilvl w:val="0"/>
          <w:numId w:val="2"/>
        </w:numPr>
        <w:spacing w:line="360" w:lineRule="auto"/>
        <w:jc w:val="both"/>
        <w:rPr>
          <w:sz w:val="28"/>
          <w:szCs w:val="28"/>
        </w:rPr>
      </w:pPr>
      <w:r w:rsidRPr="008E42FE">
        <w:rPr>
          <w:snapToGrid w:val="0"/>
          <w:sz w:val="28"/>
          <w:szCs w:val="28"/>
        </w:rPr>
        <w:t>використання досвіду зарубіжних країн в організації бюджетних відносин. Зарубіжні країни значну увагу надають фінансовому плануванню, у тому числі бюджетному. Основа фінансового планування – це планування витрат. На основі чітких нормативів передбачається дохідна частина. Збалансування досягається на основі прогнозу макроекономічних показників.  У США, Німеччині спостерігається тенденція до збільшення місцевих податкових надходжень (у США до 60%);</w:t>
      </w:r>
    </w:p>
    <w:p w:rsidR="008E42FE" w:rsidRPr="008E42FE" w:rsidRDefault="008E42FE" w:rsidP="008E42FE">
      <w:pPr>
        <w:pStyle w:val="a5"/>
        <w:numPr>
          <w:ilvl w:val="0"/>
          <w:numId w:val="2"/>
        </w:numPr>
        <w:spacing w:line="360" w:lineRule="auto"/>
        <w:jc w:val="both"/>
        <w:rPr>
          <w:sz w:val="28"/>
          <w:szCs w:val="28"/>
        </w:rPr>
      </w:pPr>
      <w:r w:rsidRPr="008E42FE">
        <w:rPr>
          <w:snapToGrid w:val="0"/>
          <w:sz w:val="28"/>
          <w:szCs w:val="28"/>
        </w:rPr>
        <w:t>забезпечення розпорядниками  бюджетних коштів використання асигнувань за цільовим призначенням, підвищення ефективності кожної гривні;</w:t>
      </w:r>
    </w:p>
    <w:p w:rsidR="008E42FE" w:rsidRPr="008E42FE" w:rsidRDefault="008E42FE" w:rsidP="008E42FE">
      <w:pPr>
        <w:pStyle w:val="a5"/>
        <w:numPr>
          <w:ilvl w:val="0"/>
          <w:numId w:val="2"/>
        </w:numPr>
        <w:spacing w:line="360" w:lineRule="auto"/>
        <w:jc w:val="both"/>
        <w:rPr>
          <w:sz w:val="28"/>
          <w:szCs w:val="28"/>
        </w:rPr>
      </w:pPr>
      <w:r w:rsidRPr="008E42FE">
        <w:rPr>
          <w:snapToGrid w:val="0"/>
          <w:sz w:val="28"/>
          <w:szCs w:val="28"/>
        </w:rPr>
        <w:t>покращення розрахунків з бюджетом по платежах і з працівниками підприємств та господарських організацій з оплати праці;</w:t>
      </w:r>
    </w:p>
    <w:p w:rsidR="008E42FE" w:rsidRPr="008E42FE" w:rsidRDefault="008E42FE" w:rsidP="008E42FE">
      <w:pPr>
        <w:pStyle w:val="a5"/>
        <w:numPr>
          <w:ilvl w:val="0"/>
          <w:numId w:val="2"/>
        </w:numPr>
        <w:spacing w:line="360" w:lineRule="auto"/>
        <w:jc w:val="both"/>
        <w:rPr>
          <w:sz w:val="28"/>
          <w:szCs w:val="28"/>
        </w:rPr>
      </w:pPr>
      <w:r w:rsidRPr="008E42FE">
        <w:rPr>
          <w:snapToGrid w:val="0"/>
          <w:sz w:val="28"/>
          <w:szCs w:val="28"/>
        </w:rPr>
        <w:t>ліквідація недоїмки з податкових платежів;</w:t>
      </w:r>
    </w:p>
    <w:p w:rsidR="008E42FE" w:rsidRPr="008E42FE" w:rsidRDefault="008E42FE" w:rsidP="008E42FE">
      <w:pPr>
        <w:pStyle w:val="a5"/>
        <w:numPr>
          <w:ilvl w:val="0"/>
          <w:numId w:val="2"/>
        </w:numPr>
        <w:spacing w:line="360" w:lineRule="auto"/>
        <w:jc w:val="both"/>
        <w:rPr>
          <w:sz w:val="28"/>
          <w:szCs w:val="28"/>
        </w:rPr>
      </w:pPr>
      <w:r w:rsidRPr="008E42FE">
        <w:rPr>
          <w:snapToGrid w:val="0"/>
          <w:sz w:val="28"/>
          <w:szCs w:val="28"/>
        </w:rPr>
        <w:t>вжиття додаткових заходів щодо нарощування обсягів виробництва, його інтенсифікації</w:t>
      </w:r>
      <w:r w:rsidR="00B901B8">
        <w:rPr>
          <w:snapToGrid w:val="0"/>
          <w:sz w:val="28"/>
          <w:szCs w:val="28"/>
        </w:rPr>
        <w:t xml:space="preserve"> </w:t>
      </w:r>
      <w:r w:rsidR="00B901B8" w:rsidRPr="008E42FE">
        <w:rPr>
          <w:sz w:val="28"/>
          <w:szCs w:val="28"/>
        </w:rPr>
        <w:t>[</w:t>
      </w:r>
      <w:r w:rsidR="00B901B8">
        <w:rPr>
          <w:sz w:val="28"/>
          <w:szCs w:val="28"/>
        </w:rPr>
        <w:t>5</w:t>
      </w:r>
      <w:r w:rsidR="00B901B8" w:rsidRPr="008E42FE">
        <w:rPr>
          <w:sz w:val="28"/>
          <w:szCs w:val="28"/>
        </w:rPr>
        <w:t xml:space="preserve">, с. </w:t>
      </w:r>
      <w:r w:rsidR="00B901B8">
        <w:rPr>
          <w:sz w:val="28"/>
          <w:szCs w:val="28"/>
        </w:rPr>
        <w:t>228</w:t>
      </w:r>
      <w:r w:rsidR="00B901B8" w:rsidRPr="008E42FE">
        <w:rPr>
          <w:sz w:val="28"/>
          <w:szCs w:val="28"/>
        </w:rPr>
        <w:t>]</w:t>
      </w:r>
      <w:r w:rsidRPr="008E42FE">
        <w:rPr>
          <w:snapToGrid w:val="0"/>
          <w:sz w:val="28"/>
          <w:szCs w:val="28"/>
        </w:rPr>
        <w:t>.</w:t>
      </w:r>
    </w:p>
    <w:p w:rsidR="008E42FE" w:rsidRPr="008E42FE" w:rsidRDefault="00B901B8" w:rsidP="008E42FE">
      <w:pPr>
        <w:spacing w:after="0" w:line="360" w:lineRule="auto"/>
        <w:ind w:firstLine="708"/>
        <w:jc w:val="both"/>
        <w:rPr>
          <w:rFonts w:ascii="Times New Roman" w:hAnsi="Times New Roman"/>
          <w:sz w:val="28"/>
          <w:szCs w:val="28"/>
        </w:rPr>
      </w:pPr>
      <w:r>
        <w:rPr>
          <w:rFonts w:ascii="Times New Roman" w:hAnsi="Times New Roman"/>
          <w:snapToGrid w:val="0"/>
          <w:sz w:val="28"/>
          <w:szCs w:val="28"/>
        </w:rPr>
        <w:t>Отже</w:t>
      </w:r>
      <w:r w:rsidR="008E42FE" w:rsidRPr="008E42FE">
        <w:rPr>
          <w:rFonts w:ascii="Times New Roman" w:hAnsi="Times New Roman"/>
          <w:snapToGrid w:val="0"/>
          <w:sz w:val="28"/>
          <w:szCs w:val="28"/>
        </w:rPr>
        <w:t>, місцеві бюджети слід розглядати як важливу фінансову категорію, основу якої становить система фінансових відносин, а саме: відносини між місцевими бюджетами і господарськими структурами, що функціонують на даній території; відносини між бюджетами і населенням даної території, що складаються при мобілізації й витрачанні коштів місцевих бюджетів; відносини між місцевими бюджетами різних рівнів щодо перерозподілу фінансових ресурсів; відносини між місцевими бюджетами і державним бюджетом.</w:t>
      </w:r>
    </w:p>
    <w:p w:rsidR="008E42FE" w:rsidRPr="008E42FE" w:rsidRDefault="008E42FE" w:rsidP="008E42FE">
      <w:pPr>
        <w:spacing w:after="0" w:line="360" w:lineRule="auto"/>
        <w:ind w:firstLine="708"/>
        <w:jc w:val="both"/>
        <w:rPr>
          <w:rFonts w:ascii="Times New Roman" w:hAnsi="Times New Roman"/>
          <w:sz w:val="28"/>
          <w:szCs w:val="28"/>
        </w:rPr>
      </w:pPr>
      <w:r w:rsidRPr="008E42FE">
        <w:rPr>
          <w:rFonts w:ascii="Times New Roman" w:hAnsi="Times New Roman"/>
          <w:snapToGrid w:val="0"/>
          <w:sz w:val="28"/>
          <w:szCs w:val="28"/>
        </w:rPr>
        <w:lastRenderedPageBreak/>
        <w:t>Місцеві бюджети є фінансовою базою органів місцевого самоврядування  та вирішальним фактором регіонального розвитку. Наявність місцевих бюджетів закріплює економічну самостійність місцевих органів самоврядування, активізує господарську діяльність, дозволяє їм розвивати інфраструктуру на підвідомчій території, розширювати економічний потенціал регіону, виявляти і використовувати резерви фінансових ресурсів. В кінцевому підсумку все це розширює можливості місцевих органів влади у більш повному задоволенні потреб населення.</w:t>
      </w:r>
    </w:p>
    <w:p w:rsidR="008E42FE" w:rsidRPr="008E42FE" w:rsidRDefault="008E42FE" w:rsidP="00B901B8">
      <w:pPr>
        <w:spacing w:after="0" w:line="360" w:lineRule="auto"/>
        <w:ind w:firstLine="708"/>
        <w:jc w:val="both"/>
        <w:rPr>
          <w:rFonts w:ascii="Times New Roman" w:hAnsi="Times New Roman"/>
          <w:snapToGrid w:val="0"/>
          <w:sz w:val="28"/>
          <w:szCs w:val="28"/>
        </w:rPr>
      </w:pPr>
      <w:r w:rsidRPr="008E42FE">
        <w:rPr>
          <w:rFonts w:ascii="Times New Roman" w:hAnsi="Times New Roman"/>
          <w:snapToGrid w:val="0"/>
          <w:sz w:val="28"/>
          <w:szCs w:val="28"/>
        </w:rPr>
        <w:t xml:space="preserve"> Місцеві бюджети є основним каналом доведення до населення кінцевих результатів суспільного виробництва, що спрямовуються на суспільне споживання. Через місцеві бюджети суспільні фонди споживання розподіляються в територіальному і соціальному розрізах.  Разом з іншими ланками бюджетної системи місцеві бюджети є одним з головних інструментів реалізації на практиці програми економічного і соціального розвитку як регіонів, так і країни в цілому. </w:t>
      </w:r>
    </w:p>
    <w:p w:rsidR="004A2C34" w:rsidRDefault="004A2C34" w:rsidP="00B901B8">
      <w:pPr>
        <w:spacing w:after="0" w:line="360" w:lineRule="auto"/>
        <w:rPr>
          <w:rFonts w:ascii="Times New Roman" w:hAnsi="Times New Roman"/>
          <w:b/>
          <w:sz w:val="28"/>
          <w:szCs w:val="28"/>
        </w:rPr>
      </w:pPr>
    </w:p>
    <w:p w:rsidR="00801FA0" w:rsidRPr="008E42FE" w:rsidRDefault="00801FA0" w:rsidP="00B901B8">
      <w:pPr>
        <w:spacing w:after="0" w:line="360" w:lineRule="auto"/>
        <w:rPr>
          <w:rFonts w:ascii="Times New Roman" w:hAnsi="Times New Roman"/>
          <w:b/>
          <w:sz w:val="28"/>
          <w:szCs w:val="28"/>
        </w:rPr>
      </w:pPr>
      <w:bookmarkStart w:id="0" w:name="_GoBack"/>
      <w:bookmarkEnd w:id="0"/>
      <w:r w:rsidRPr="008E42FE">
        <w:rPr>
          <w:rFonts w:ascii="Times New Roman" w:hAnsi="Times New Roman"/>
          <w:b/>
          <w:sz w:val="28"/>
          <w:szCs w:val="28"/>
        </w:rPr>
        <w:t>Список використаної літератури:</w:t>
      </w:r>
    </w:p>
    <w:p w:rsidR="008E42FE" w:rsidRDefault="008E42FE" w:rsidP="008E42FE">
      <w:pPr>
        <w:pStyle w:val="a5"/>
        <w:numPr>
          <w:ilvl w:val="0"/>
          <w:numId w:val="4"/>
        </w:numPr>
        <w:spacing w:line="360" w:lineRule="auto"/>
        <w:jc w:val="both"/>
        <w:rPr>
          <w:sz w:val="28"/>
          <w:szCs w:val="28"/>
        </w:rPr>
      </w:pPr>
      <w:proofErr w:type="spellStart"/>
      <w:r w:rsidRPr="008E42FE">
        <w:rPr>
          <w:sz w:val="28"/>
          <w:szCs w:val="28"/>
        </w:rPr>
        <w:t>Міхєєнко</w:t>
      </w:r>
      <w:proofErr w:type="spellEnd"/>
      <w:r w:rsidRPr="008E42FE">
        <w:rPr>
          <w:sz w:val="28"/>
          <w:szCs w:val="28"/>
        </w:rPr>
        <w:t xml:space="preserve"> Т. В. Формування доходів місцевих бюджетів: теоретичні і практичні аспекти // Актуальні проблеми економіки. – 2012. – № 12(66). – с. 39-44.</w:t>
      </w:r>
    </w:p>
    <w:p w:rsidR="008E42FE" w:rsidRDefault="008E42FE" w:rsidP="008E42FE">
      <w:pPr>
        <w:pStyle w:val="a5"/>
        <w:numPr>
          <w:ilvl w:val="0"/>
          <w:numId w:val="4"/>
        </w:numPr>
        <w:spacing w:line="360" w:lineRule="auto"/>
        <w:jc w:val="both"/>
        <w:rPr>
          <w:sz w:val="28"/>
          <w:szCs w:val="28"/>
        </w:rPr>
      </w:pPr>
      <w:r w:rsidRPr="008E42FE">
        <w:rPr>
          <w:sz w:val="28"/>
          <w:szCs w:val="28"/>
        </w:rPr>
        <w:t xml:space="preserve"> Огонь Ц. Г. Доходи місцевих бюджетів і напрями їх реструктуризації // Фінанси України. – 2009. – № 5. – С. 3-11.</w:t>
      </w:r>
    </w:p>
    <w:p w:rsidR="008E42FE" w:rsidRDefault="008E42FE" w:rsidP="008E42FE">
      <w:pPr>
        <w:pStyle w:val="a5"/>
        <w:numPr>
          <w:ilvl w:val="0"/>
          <w:numId w:val="4"/>
        </w:numPr>
        <w:spacing w:line="360" w:lineRule="auto"/>
        <w:jc w:val="both"/>
        <w:rPr>
          <w:sz w:val="28"/>
          <w:szCs w:val="28"/>
        </w:rPr>
      </w:pPr>
      <w:r w:rsidRPr="008E42FE">
        <w:rPr>
          <w:sz w:val="28"/>
          <w:szCs w:val="28"/>
        </w:rPr>
        <w:t>Павлюк К. В. Формування доходів місцевих бюджетів // Фінанси України. – 2013. – № 4. – С. 24-37.</w:t>
      </w:r>
    </w:p>
    <w:p w:rsidR="008E42FE" w:rsidRDefault="008E42FE" w:rsidP="008E42FE">
      <w:pPr>
        <w:pStyle w:val="a5"/>
        <w:numPr>
          <w:ilvl w:val="0"/>
          <w:numId w:val="4"/>
        </w:numPr>
        <w:spacing w:line="360" w:lineRule="auto"/>
        <w:jc w:val="both"/>
        <w:rPr>
          <w:sz w:val="28"/>
          <w:szCs w:val="28"/>
        </w:rPr>
      </w:pPr>
      <w:r w:rsidRPr="008E42FE">
        <w:rPr>
          <w:sz w:val="28"/>
          <w:szCs w:val="28"/>
        </w:rPr>
        <w:t xml:space="preserve">Слухай С. В., </w:t>
      </w:r>
      <w:proofErr w:type="spellStart"/>
      <w:r w:rsidRPr="008E42FE">
        <w:rPr>
          <w:sz w:val="28"/>
          <w:szCs w:val="28"/>
        </w:rPr>
        <w:t>Здерка</w:t>
      </w:r>
      <w:proofErr w:type="spellEnd"/>
      <w:r w:rsidRPr="008E42FE">
        <w:rPr>
          <w:sz w:val="28"/>
          <w:szCs w:val="28"/>
        </w:rPr>
        <w:t xml:space="preserve"> Н. Я. Формування доходів місцевих бюджетів у контексті трансформації податкової системи // Фінанси України. – 2010. – № 5. – С. 12-20.</w:t>
      </w:r>
    </w:p>
    <w:p w:rsidR="008E42FE" w:rsidRPr="008E42FE" w:rsidRDefault="008E42FE" w:rsidP="008E42FE">
      <w:pPr>
        <w:pStyle w:val="a5"/>
        <w:numPr>
          <w:ilvl w:val="0"/>
          <w:numId w:val="4"/>
        </w:numPr>
        <w:spacing w:line="360" w:lineRule="auto"/>
        <w:jc w:val="both"/>
        <w:rPr>
          <w:sz w:val="28"/>
          <w:szCs w:val="28"/>
        </w:rPr>
      </w:pPr>
      <w:proofErr w:type="spellStart"/>
      <w:r w:rsidRPr="008E42FE">
        <w:rPr>
          <w:sz w:val="28"/>
          <w:szCs w:val="28"/>
        </w:rPr>
        <w:t>Фурдичко</w:t>
      </w:r>
      <w:proofErr w:type="spellEnd"/>
      <w:r w:rsidRPr="008E42FE">
        <w:rPr>
          <w:sz w:val="28"/>
          <w:szCs w:val="28"/>
        </w:rPr>
        <w:t xml:space="preserve"> Л. Є., </w:t>
      </w:r>
      <w:proofErr w:type="spellStart"/>
      <w:r w:rsidRPr="008E42FE">
        <w:rPr>
          <w:sz w:val="28"/>
          <w:szCs w:val="28"/>
        </w:rPr>
        <w:t>Гайдис</w:t>
      </w:r>
      <w:proofErr w:type="spellEnd"/>
      <w:r w:rsidRPr="008E42FE">
        <w:rPr>
          <w:sz w:val="28"/>
          <w:szCs w:val="28"/>
        </w:rPr>
        <w:t xml:space="preserve"> Н. Міжбюджетні відносини в Україні в сучасних умовах // Регіональна економіка. – 2013. – № 2. – с. 228-229.</w:t>
      </w:r>
    </w:p>
    <w:p w:rsidR="003D20F9" w:rsidRPr="008E42FE" w:rsidRDefault="003D20F9" w:rsidP="008E42FE">
      <w:pPr>
        <w:spacing w:after="0" w:line="360" w:lineRule="auto"/>
        <w:rPr>
          <w:rFonts w:ascii="Times New Roman" w:hAnsi="Times New Roman"/>
          <w:sz w:val="28"/>
          <w:szCs w:val="28"/>
        </w:rPr>
      </w:pPr>
    </w:p>
    <w:sectPr w:rsidR="003D20F9" w:rsidRPr="008E42FE" w:rsidSect="008E42F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6223"/>
    <w:multiLevelType w:val="hybridMultilevel"/>
    <w:tmpl w:val="4252C67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
    <w:nsid w:val="4418113F"/>
    <w:multiLevelType w:val="hybridMultilevel"/>
    <w:tmpl w:val="A36E5C80"/>
    <w:lvl w:ilvl="0" w:tplc="67CC91D2">
      <w:start w:val="1"/>
      <w:numFmt w:val="bullet"/>
      <w:lvlText w:val=""/>
      <w:lvlJc w:val="left"/>
      <w:pPr>
        <w:tabs>
          <w:tab w:val="num" w:pos="13395"/>
        </w:tabs>
        <w:ind w:left="13395" w:hanging="360"/>
      </w:pPr>
      <w:rPr>
        <w:rFonts w:ascii="Symbol" w:hAnsi="Symbol" w:hint="default"/>
      </w:rPr>
    </w:lvl>
    <w:lvl w:ilvl="1" w:tplc="04220003" w:tentative="1">
      <w:start w:val="1"/>
      <w:numFmt w:val="bullet"/>
      <w:lvlText w:val="o"/>
      <w:lvlJc w:val="left"/>
      <w:pPr>
        <w:tabs>
          <w:tab w:val="num" w:pos="14475"/>
        </w:tabs>
        <w:ind w:left="14475" w:hanging="360"/>
      </w:pPr>
      <w:rPr>
        <w:rFonts w:ascii="Courier New" w:hAnsi="Courier New" w:cs="Courier New" w:hint="default"/>
      </w:rPr>
    </w:lvl>
    <w:lvl w:ilvl="2" w:tplc="04220005" w:tentative="1">
      <w:start w:val="1"/>
      <w:numFmt w:val="bullet"/>
      <w:lvlText w:val=""/>
      <w:lvlJc w:val="left"/>
      <w:pPr>
        <w:tabs>
          <w:tab w:val="num" w:pos="15195"/>
        </w:tabs>
        <w:ind w:left="15195" w:hanging="360"/>
      </w:pPr>
      <w:rPr>
        <w:rFonts w:ascii="Wingdings" w:hAnsi="Wingdings" w:hint="default"/>
      </w:rPr>
    </w:lvl>
    <w:lvl w:ilvl="3" w:tplc="04220001" w:tentative="1">
      <w:start w:val="1"/>
      <w:numFmt w:val="bullet"/>
      <w:lvlText w:val=""/>
      <w:lvlJc w:val="left"/>
      <w:pPr>
        <w:tabs>
          <w:tab w:val="num" w:pos="15915"/>
        </w:tabs>
        <w:ind w:left="15915" w:hanging="360"/>
      </w:pPr>
      <w:rPr>
        <w:rFonts w:ascii="Symbol" w:hAnsi="Symbol" w:hint="default"/>
      </w:rPr>
    </w:lvl>
    <w:lvl w:ilvl="4" w:tplc="04220003" w:tentative="1">
      <w:start w:val="1"/>
      <w:numFmt w:val="bullet"/>
      <w:lvlText w:val="o"/>
      <w:lvlJc w:val="left"/>
      <w:pPr>
        <w:tabs>
          <w:tab w:val="num" w:pos="16635"/>
        </w:tabs>
        <w:ind w:left="16635" w:hanging="360"/>
      </w:pPr>
      <w:rPr>
        <w:rFonts w:ascii="Courier New" w:hAnsi="Courier New" w:cs="Courier New" w:hint="default"/>
      </w:rPr>
    </w:lvl>
    <w:lvl w:ilvl="5" w:tplc="04220005" w:tentative="1">
      <w:start w:val="1"/>
      <w:numFmt w:val="bullet"/>
      <w:lvlText w:val=""/>
      <w:lvlJc w:val="left"/>
      <w:pPr>
        <w:tabs>
          <w:tab w:val="num" w:pos="17355"/>
        </w:tabs>
        <w:ind w:left="17355" w:hanging="360"/>
      </w:pPr>
      <w:rPr>
        <w:rFonts w:ascii="Wingdings" w:hAnsi="Wingdings" w:hint="default"/>
      </w:rPr>
    </w:lvl>
    <w:lvl w:ilvl="6" w:tplc="04220001" w:tentative="1">
      <w:start w:val="1"/>
      <w:numFmt w:val="bullet"/>
      <w:lvlText w:val=""/>
      <w:lvlJc w:val="left"/>
      <w:pPr>
        <w:tabs>
          <w:tab w:val="num" w:pos="18075"/>
        </w:tabs>
        <w:ind w:left="18075" w:hanging="360"/>
      </w:pPr>
      <w:rPr>
        <w:rFonts w:ascii="Symbol" w:hAnsi="Symbol" w:hint="default"/>
      </w:rPr>
    </w:lvl>
    <w:lvl w:ilvl="7" w:tplc="04220003" w:tentative="1">
      <w:start w:val="1"/>
      <w:numFmt w:val="bullet"/>
      <w:lvlText w:val="o"/>
      <w:lvlJc w:val="left"/>
      <w:pPr>
        <w:tabs>
          <w:tab w:val="num" w:pos="18795"/>
        </w:tabs>
        <w:ind w:left="18795" w:hanging="360"/>
      </w:pPr>
      <w:rPr>
        <w:rFonts w:ascii="Courier New" w:hAnsi="Courier New" w:cs="Courier New" w:hint="default"/>
      </w:rPr>
    </w:lvl>
    <w:lvl w:ilvl="8" w:tplc="04220005" w:tentative="1">
      <w:start w:val="1"/>
      <w:numFmt w:val="bullet"/>
      <w:lvlText w:val=""/>
      <w:lvlJc w:val="left"/>
      <w:pPr>
        <w:tabs>
          <w:tab w:val="num" w:pos="19515"/>
        </w:tabs>
        <w:ind w:left="19515" w:hanging="360"/>
      </w:pPr>
      <w:rPr>
        <w:rFonts w:ascii="Wingdings" w:hAnsi="Wingdings" w:hint="default"/>
      </w:rPr>
    </w:lvl>
  </w:abstractNum>
  <w:abstractNum w:abstractNumId="2">
    <w:nsid w:val="59A56B08"/>
    <w:multiLevelType w:val="hybridMultilevel"/>
    <w:tmpl w:val="BA78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915035"/>
    <w:multiLevelType w:val="hybridMultilevel"/>
    <w:tmpl w:val="B0C06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33"/>
    <w:rsid w:val="003D20F9"/>
    <w:rsid w:val="004A2C34"/>
    <w:rsid w:val="00801FA0"/>
    <w:rsid w:val="00892B20"/>
    <w:rsid w:val="008E42FE"/>
    <w:rsid w:val="00A06EF5"/>
    <w:rsid w:val="00B901B8"/>
    <w:rsid w:val="00BC1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A0"/>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8E42FE"/>
    <w:pPr>
      <w:spacing w:before="100" w:beforeAutospacing="1" w:after="100" w:afterAutospacing="1" w:line="240" w:lineRule="auto"/>
    </w:pPr>
    <w:rPr>
      <w:rFonts w:ascii="Times New Roman" w:hAnsi="Times New Roman"/>
      <w:sz w:val="24"/>
      <w:szCs w:val="24"/>
      <w:lang w:val="ru-RU" w:eastAsia="ru-RU"/>
    </w:rPr>
  </w:style>
  <w:style w:type="paragraph" w:customStyle="1" w:styleId="21">
    <w:name w:val="Основний текст 21"/>
    <w:basedOn w:val="a"/>
    <w:rsid w:val="008E42FE"/>
    <w:pPr>
      <w:overflowPunct w:val="0"/>
      <w:autoSpaceDE w:val="0"/>
      <w:autoSpaceDN w:val="0"/>
      <w:adjustRightInd w:val="0"/>
      <w:spacing w:after="0" w:line="240" w:lineRule="auto"/>
      <w:ind w:firstLine="851"/>
      <w:jc w:val="both"/>
      <w:textAlignment w:val="baseline"/>
    </w:pPr>
    <w:rPr>
      <w:rFonts w:ascii="Times New Roman" w:hAnsi="Times New Roman"/>
      <w:color w:val="000000"/>
      <w:sz w:val="28"/>
      <w:szCs w:val="20"/>
      <w:lang w:eastAsia="ru-RU"/>
    </w:rPr>
  </w:style>
  <w:style w:type="character" w:customStyle="1" w:styleId="a3">
    <w:name w:val="Звичайний (веб) Знак"/>
    <w:aliases w:val=" Знак Знак,Знак Знак"/>
    <w:link w:val="a4"/>
    <w:locked/>
    <w:rsid w:val="008E42FE"/>
    <w:rPr>
      <w:sz w:val="24"/>
      <w:szCs w:val="24"/>
    </w:rPr>
  </w:style>
  <w:style w:type="paragraph" w:styleId="a4">
    <w:name w:val="Normal (Web)"/>
    <w:aliases w:val=" Знак,Знак"/>
    <w:basedOn w:val="a"/>
    <w:link w:val="a3"/>
    <w:rsid w:val="008E42FE"/>
    <w:pPr>
      <w:spacing w:before="100" w:beforeAutospacing="1" w:after="100" w:afterAutospacing="1" w:line="240" w:lineRule="auto"/>
    </w:pPr>
    <w:rPr>
      <w:rFonts w:asciiTheme="minorHAnsi" w:eastAsiaTheme="minorHAnsi" w:hAnsiTheme="minorHAnsi" w:cstheme="minorBidi"/>
      <w:sz w:val="24"/>
      <w:szCs w:val="24"/>
      <w:lang w:val="ru-RU" w:eastAsia="en-US"/>
    </w:rPr>
  </w:style>
  <w:style w:type="paragraph" w:styleId="a5">
    <w:name w:val="List Paragraph"/>
    <w:basedOn w:val="a"/>
    <w:uiPriority w:val="34"/>
    <w:qFormat/>
    <w:rsid w:val="008E42FE"/>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A0"/>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8E42FE"/>
    <w:pPr>
      <w:spacing w:before="100" w:beforeAutospacing="1" w:after="100" w:afterAutospacing="1" w:line="240" w:lineRule="auto"/>
    </w:pPr>
    <w:rPr>
      <w:rFonts w:ascii="Times New Roman" w:hAnsi="Times New Roman"/>
      <w:sz w:val="24"/>
      <w:szCs w:val="24"/>
      <w:lang w:val="ru-RU" w:eastAsia="ru-RU"/>
    </w:rPr>
  </w:style>
  <w:style w:type="paragraph" w:customStyle="1" w:styleId="21">
    <w:name w:val="Основний текст 21"/>
    <w:basedOn w:val="a"/>
    <w:rsid w:val="008E42FE"/>
    <w:pPr>
      <w:overflowPunct w:val="0"/>
      <w:autoSpaceDE w:val="0"/>
      <w:autoSpaceDN w:val="0"/>
      <w:adjustRightInd w:val="0"/>
      <w:spacing w:after="0" w:line="240" w:lineRule="auto"/>
      <w:ind w:firstLine="851"/>
      <w:jc w:val="both"/>
      <w:textAlignment w:val="baseline"/>
    </w:pPr>
    <w:rPr>
      <w:rFonts w:ascii="Times New Roman" w:hAnsi="Times New Roman"/>
      <w:color w:val="000000"/>
      <w:sz w:val="28"/>
      <w:szCs w:val="20"/>
      <w:lang w:eastAsia="ru-RU"/>
    </w:rPr>
  </w:style>
  <w:style w:type="character" w:customStyle="1" w:styleId="a3">
    <w:name w:val="Звичайний (веб) Знак"/>
    <w:aliases w:val=" Знак Знак,Знак Знак"/>
    <w:link w:val="a4"/>
    <w:locked/>
    <w:rsid w:val="008E42FE"/>
    <w:rPr>
      <w:sz w:val="24"/>
      <w:szCs w:val="24"/>
    </w:rPr>
  </w:style>
  <w:style w:type="paragraph" w:styleId="a4">
    <w:name w:val="Normal (Web)"/>
    <w:aliases w:val=" Знак,Знак"/>
    <w:basedOn w:val="a"/>
    <w:link w:val="a3"/>
    <w:rsid w:val="008E42FE"/>
    <w:pPr>
      <w:spacing w:before="100" w:beforeAutospacing="1" w:after="100" w:afterAutospacing="1" w:line="240" w:lineRule="auto"/>
    </w:pPr>
    <w:rPr>
      <w:rFonts w:asciiTheme="minorHAnsi" w:eastAsiaTheme="minorHAnsi" w:hAnsiTheme="minorHAnsi" w:cstheme="minorBidi"/>
      <w:sz w:val="24"/>
      <w:szCs w:val="24"/>
      <w:lang w:val="ru-RU" w:eastAsia="en-US"/>
    </w:rPr>
  </w:style>
  <w:style w:type="paragraph" w:styleId="a5">
    <w:name w:val="List Paragraph"/>
    <w:basedOn w:val="a"/>
    <w:uiPriority w:val="34"/>
    <w:qFormat/>
    <w:rsid w:val="008E42FE"/>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1362</Words>
  <Characters>7768</Characters>
  <Application>Microsoft Office Word</Application>
  <DocSecurity>0</DocSecurity>
  <Lines>64</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2017-02-11T14:31:00Z</dcterms:created>
  <dcterms:modified xsi:type="dcterms:W3CDTF">2017-02-11T14:57:00Z</dcterms:modified>
</cp:coreProperties>
</file>