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CD" w:rsidRPr="00EA77B7" w:rsidRDefault="00304CCD" w:rsidP="00304CCD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EA77B7">
        <w:rPr>
          <w:rFonts w:ascii="Times New Roman" w:hAnsi="Times New Roman" w:cs="Times New Roman"/>
          <w:i/>
          <w:sz w:val="24"/>
          <w:szCs w:val="28"/>
        </w:rPr>
        <w:t>Шот</w:t>
      </w:r>
      <w:proofErr w:type="spellEnd"/>
      <w:r w:rsidRPr="00EA77B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EA77B7">
        <w:rPr>
          <w:rFonts w:ascii="Times New Roman" w:hAnsi="Times New Roman" w:cs="Times New Roman"/>
          <w:i/>
          <w:sz w:val="24"/>
          <w:szCs w:val="28"/>
          <w:lang w:val="ru-RU"/>
        </w:rPr>
        <w:t>А.П.</w:t>
      </w:r>
      <w:r w:rsidR="00EA77B7">
        <w:rPr>
          <w:rFonts w:ascii="Times New Roman" w:hAnsi="Times New Roman" w:cs="Times New Roman"/>
          <w:i/>
          <w:sz w:val="24"/>
          <w:szCs w:val="28"/>
        </w:rPr>
        <w:t>,</w:t>
      </w:r>
      <w:r w:rsidR="00EA77B7" w:rsidRPr="00EA77B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proofErr w:type="spellStart"/>
      <w:r w:rsidRPr="00EA77B7">
        <w:rPr>
          <w:rFonts w:ascii="Times New Roman" w:hAnsi="Times New Roman" w:cs="Times New Roman"/>
          <w:i/>
          <w:sz w:val="24"/>
          <w:szCs w:val="28"/>
        </w:rPr>
        <w:t>к.е.н</w:t>
      </w:r>
      <w:proofErr w:type="spellEnd"/>
      <w:r w:rsidRPr="00EA77B7">
        <w:rPr>
          <w:rFonts w:ascii="Times New Roman" w:hAnsi="Times New Roman" w:cs="Times New Roman"/>
          <w:i/>
          <w:sz w:val="24"/>
          <w:szCs w:val="28"/>
        </w:rPr>
        <w:t>., доцент</w:t>
      </w:r>
    </w:p>
    <w:p w:rsidR="00304CCD" w:rsidRPr="00EA77B7" w:rsidRDefault="00EA77B7" w:rsidP="00304CC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Львівська державна фінансова академія</w:t>
      </w:r>
    </w:p>
    <w:p w:rsidR="00304CCD" w:rsidRPr="00EA77B7" w:rsidRDefault="00304CCD" w:rsidP="00B2497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304CCD" w:rsidRPr="00EA77B7" w:rsidRDefault="00EA77B7" w:rsidP="00B24972">
      <w:pPr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A77B7">
        <w:rPr>
          <w:rFonts w:ascii="Times New Roman" w:hAnsi="Times New Roman" w:cs="Times New Roman"/>
          <w:i/>
          <w:sz w:val="24"/>
          <w:szCs w:val="28"/>
        </w:rPr>
        <w:t>ДЕРЖАВНИЙ ВНУТРІШНІЙ ФІНАНСОВИЙ КОНТРОЛЬ ТА ЙОГО ЕФЕКТИВНІСТЬ В КОНТЕКСТІ ЄВРОІН</w:t>
      </w:r>
      <w:bookmarkStart w:id="0" w:name="_GoBack"/>
      <w:bookmarkEnd w:id="0"/>
      <w:r w:rsidRPr="00EA77B7">
        <w:rPr>
          <w:rFonts w:ascii="Times New Roman" w:hAnsi="Times New Roman" w:cs="Times New Roman"/>
          <w:i/>
          <w:sz w:val="24"/>
          <w:szCs w:val="28"/>
        </w:rPr>
        <w:t xml:space="preserve">ТЕГРАЦІЙНИХ ПРОЦЕСІВ </w:t>
      </w:r>
    </w:p>
    <w:p w:rsidR="00DD6EB7" w:rsidRDefault="00C6220F" w:rsidP="00B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sz w:val="24"/>
          <w:szCs w:val="20"/>
          <w:lang w:val="ru-RU" w:eastAsia="ru-RU"/>
        </w:rPr>
      </w:pPr>
      <w:r w:rsidRPr="007749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</w:t>
      </w:r>
    </w:p>
    <w:p w:rsidR="00DB11F2" w:rsidRDefault="00DB11F2" w:rsidP="00DC3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Інтеграція України до європейського простору супроводжується докорінними змінами та реформами </w:t>
      </w:r>
      <w:r w:rsidR="00992230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політичній та економічній</w:t>
      </w:r>
      <w:r w:rsidR="00C23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37D52">
        <w:rPr>
          <w:rFonts w:ascii="Times New Roman" w:eastAsia="Times New Roman" w:hAnsi="Times New Roman" w:cs="Times New Roman"/>
          <w:sz w:val="24"/>
          <w:szCs w:val="20"/>
          <w:lang w:eastAsia="ru-RU"/>
        </w:rPr>
        <w:t>сферах</w:t>
      </w:r>
      <w:r w:rsidR="009922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 тому числі і </w:t>
      </w:r>
      <w:r w:rsidR="00992230">
        <w:rPr>
          <w:rFonts w:ascii="Times New Roman" w:hAnsi="Times New Roman" w:cs="Times New Roman"/>
          <w:sz w:val="24"/>
        </w:rPr>
        <w:t>системі</w:t>
      </w:r>
      <w:r w:rsidR="00992230" w:rsidRPr="00BC3E04">
        <w:rPr>
          <w:rFonts w:ascii="Times New Roman" w:hAnsi="Times New Roman" w:cs="Times New Roman"/>
          <w:sz w:val="24"/>
        </w:rPr>
        <w:t xml:space="preserve"> державного внутрішнього фінансового контролю</w:t>
      </w:r>
      <w:r w:rsidR="00507EE3" w:rsidRPr="00507EE3">
        <w:rPr>
          <w:rFonts w:ascii="Arial" w:eastAsia="Times New Roman" w:hAnsi="Arial" w:cs="Arial"/>
          <w:lang w:eastAsia="ru-RU"/>
        </w:rPr>
        <w:t xml:space="preserve"> </w:t>
      </w:r>
      <w:r w:rsidR="00507EE3" w:rsidRPr="00507EE3">
        <w:rPr>
          <w:rFonts w:ascii="Times New Roman" w:eastAsia="Times New Roman" w:hAnsi="Times New Roman" w:cs="Times New Roman"/>
          <w:lang w:eastAsia="ru-RU"/>
        </w:rPr>
        <w:t>(ДВФК)</w:t>
      </w:r>
      <w:r w:rsidR="00992230" w:rsidRPr="00507EE3">
        <w:rPr>
          <w:rFonts w:ascii="Times New Roman" w:hAnsi="Times New Roman" w:cs="Times New Roman"/>
          <w:sz w:val="24"/>
        </w:rPr>
        <w:t>.</w:t>
      </w:r>
      <w:r w:rsidR="009922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0748BB" w:rsidRDefault="000748BB" w:rsidP="00DC3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</w:t>
      </w:r>
      <w:r w:rsidRPr="000748BB">
        <w:rPr>
          <w:rFonts w:ascii="Times New Roman" w:eastAsia="Times New Roman" w:hAnsi="Times New Roman" w:cs="Times New Roman"/>
          <w:sz w:val="24"/>
          <w:szCs w:val="20"/>
          <w:lang w:eastAsia="ru-RU"/>
        </w:rPr>
        <w:t>гідно з Конц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епцію   розвитку   державного  </w:t>
      </w:r>
      <w:r w:rsidRPr="00074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внутрішнього фінансового контролю на період до 2017 року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0748BB">
        <w:rPr>
          <w:rFonts w:ascii="Times New Roman" w:eastAsia="Times New Roman" w:hAnsi="Times New Roman" w:cs="Times New Roman"/>
          <w:sz w:val="24"/>
          <w:szCs w:val="20"/>
          <w:lang w:eastAsia="ru-RU"/>
        </w:rPr>
        <w:t>ержавний внутрішній фінансовий контроль, повинен  забезпечити законне, економічне, ефек</w:t>
      </w:r>
      <w:r w:rsidR="00DC3AE2">
        <w:rPr>
          <w:rFonts w:ascii="Times New Roman" w:eastAsia="Times New Roman" w:hAnsi="Times New Roman" w:cs="Times New Roman"/>
          <w:sz w:val="24"/>
          <w:szCs w:val="20"/>
          <w:lang w:eastAsia="ru-RU"/>
        </w:rPr>
        <w:t>тивне, результативне та прозоре</w:t>
      </w:r>
      <w:r w:rsidRPr="00074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управління державними  фінансами  і  розглядається  як  сукупність трьох складових:  внутрішнього контролю, внутрішнього аудиту та їх гармонізації.</w:t>
      </w:r>
    </w:p>
    <w:p w:rsidR="00DC3AE2" w:rsidRPr="00DC3AE2" w:rsidRDefault="00DC3AE2" w:rsidP="00DC3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C3AE2">
        <w:rPr>
          <w:rFonts w:ascii="Times New Roman" w:eastAsia="Times New Roman" w:hAnsi="Times New Roman" w:cs="Times New Roman"/>
          <w:sz w:val="24"/>
          <w:szCs w:val="20"/>
          <w:lang w:eastAsia="ru-RU"/>
        </w:rPr>
        <w:t>Підвищення ефективності використання державних фінансів,  яке має вирішальне  значення  для  економічного  розвитку  України  та суспільного  добробуту,  а  також виконання завдань,  передбачених планом  дій  Україна  -  ЄС,  можливо  досягти,  зокрема,   шляхом системного   вдосконалення   діяльності   органів   державного   і комунального  сектору,  підвищення   рівня   культури   державного управління.</w:t>
      </w:r>
    </w:p>
    <w:p w:rsidR="00DC3AE2" w:rsidRDefault="000748BB" w:rsidP="00DC3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4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Державний внутрішній фінансовий контроль є  важливим інструментом державного  управління,  що  дає  змогу досягти   виконання   зазначених  завдань  та  зменшити  кількість проблемних питань,  пов'язаних з діяльністю органів  державного  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комунального  сектору</w:t>
      </w:r>
      <w:r w:rsidRPr="00074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0748BB" w:rsidRDefault="00DC3AE2" w:rsidP="00DC3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748BB" w:rsidRPr="000748BB">
        <w:rPr>
          <w:rFonts w:ascii="Times New Roman" w:eastAsia="Times New Roman" w:hAnsi="Times New Roman" w:cs="Times New Roman"/>
          <w:sz w:val="24"/>
          <w:szCs w:val="20"/>
          <w:lang w:eastAsia="ru-RU"/>
        </w:rPr>
        <w:t>Ефективний державний   внутрішній   фінансовий   контроль   сприяє державному   управлінню   в   разі  зміни  середовища,  потреб  та пріоритетів суспільства  і  держави.  У  зв'язку  з  цим  з  метою вдосконалення  системи  державного управління,  впровадження нових технологічних досягнень з урахуванням  програмних  змін  необхідно постійно  проводити  оцінку  державного  внутрішнього  фінансового контролю  для  приведення  його     відповідність   з   потребами сьогодення.</w:t>
      </w:r>
    </w:p>
    <w:p w:rsidR="002F4518" w:rsidRDefault="00DC3AE2" w:rsidP="00DD7DFF">
      <w:pPr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DD7DFF">
        <w:rPr>
          <w:rFonts w:ascii="Times New Roman" w:eastAsia="Times New Roman" w:hAnsi="Times New Roman" w:cs="Times New Roman"/>
          <w:sz w:val="24"/>
          <w:szCs w:val="20"/>
          <w:lang w:eastAsia="ru-RU"/>
        </w:rPr>
        <w:t>днією з причин</w:t>
      </w:r>
      <w:r w:rsidR="00D502F5" w:rsidRPr="00DC3A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кризових явищ,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що відбуваються в Україні</w:t>
      </w:r>
      <w:r w:rsidR="00D502F5" w:rsidRPr="00DC3A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протягом останніх років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є н</w:t>
      </w:r>
      <w:r w:rsidRPr="00DC3A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едооцінка ролі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фінансового контролю</w:t>
      </w:r>
      <w:r w:rsidR="00D502F5" w:rsidRPr="00DC3A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</w:t>
      </w:r>
      <w:r w:rsidR="002F4518">
        <w:rPr>
          <w:rFonts w:ascii="Times New Roman" w:eastAsia="Times New Roman" w:hAnsi="Times New Roman" w:cs="Times New Roman"/>
          <w:sz w:val="24"/>
          <w:szCs w:val="20"/>
          <w:lang w:eastAsia="ru-RU"/>
        </w:rPr>
        <w:t>сь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2F4518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дні</w:t>
      </w:r>
      <w:r w:rsidR="002F45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Україні існує об’єктивна потреба</w:t>
      </w:r>
      <w:r w:rsidR="00D502F5" w:rsidRPr="00DC3A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створення ефективної та жи</w:t>
      </w:r>
      <w:r w:rsidR="002F4518">
        <w:rPr>
          <w:rFonts w:ascii="Times New Roman" w:eastAsia="Times New Roman" w:hAnsi="Times New Roman" w:cs="Times New Roman"/>
          <w:sz w:val="24"/>
          <w:szCs w:val="20"/>
          <w:lang w:eastAsia="ru-RU"/>
        </w:rPr>
        <w:t>ттєздатної системи фінансового контролю</w:t>
      </w:r>
      <w:r w:rsidR="0050105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D502F5" w:rsidRPr="00DC3A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як</w:t>
      </w:r>
      <w:r w:rsidR="002F4518">
        <w:rPr>
          <w:rFonts w:ascii="Times New Roman" w:eastAsia="Times New Roman" w:hAnsi="Times New Roman" w:cs="Times New Roman"/>
          <w:sz w:val="24"/>
          <w:szCs w:val="20"/>
          <w:lang w:eastAsia="ru-RU"/>
        </w:rPr>
        <w:t>а б суттєво покращила рівень</w:t>
      </w:r>
      <w:r w:rsidR="00D502F5" w:rsidRPr="00DC3A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фінансової дисцип</w:t>
      </w:r>
      <w:r w:rsidR="002F4518">
        <w:rPr>
          <w:rFonts w:ascii="Times New Roman" w:eastAsia="Times New Roman" w:hAnsi="Times New Roman" w:cs="Times New Roman"/>
          <w:sz w:val="24"/>
          <w:szCs w:val="20"/>
          <w:lang w:eastAsia="ru-RU"/>
        </w:rPr>
        <w:t>ліни і, як наслідок, забезпечила</w:t>
      </w:r>
      <w:r w:rsidR="00D502F5" w:rsidRPr="00DC3A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зменшення кількос</w:t>
      </w:r>
      <w:r w:rsidR="00DD7D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ті </w:t>
      </w:r>
      <w:r w:rsidR="002F4518">
        <w:rPr>
          <w:rFonts w:ascii="Times New Roman" w:eastAsia="Times New Roman" w:hAnsi="Times New Roman" w:cs="Times New Roman"/>
          <w:sz w:val="24"/>
          <w:szCs w:val="20"/>
          <w:lang w:eastAsia="ru-RU"/>
        </w:rPr>
        <w:t>фінансових порушень.</w:t>
      </w:r>
      <w:r w:rsidR="00D502F5" w:rsidRPr="00DC3A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01056" w:rsidRDefault="00501056" w:rsidP="00DD7DF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 низький </w:t>
      </w:r>
      <w:r w:rsidRPr="0050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 фінансової дисципліни державного і комунального  сектору</w:t>
      </w:r>
      <w:r w:rsidRPr="0050105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50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свідчать численні порушення виявлені ДКРС, </w:t>
      </w:r>
      <w:proofErr w:type="spellStart"/>
      <w:r w:rsidRPr="0050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Держфінінспекцією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(табл.1)</w:t>
      </w:r>
      <w:r w:rsidR="0047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1522" w:rsidRDefault="00281522" w:rsidP="002B2379">
      <w:pPr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056" w:rsidRDefault="002B2379" w:rsidP="002B2379">
      <w:pPr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Таблиця 1</w:t>
      </w:r>
    </w:p>
    <w:p w:rsidR="00B72283" w:rsidRDefault="005024E3" w:rsidP="00D32B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Динаміка основних показників діяльності </w:t>
      </w:r>
      <w:r w:rsidR="00B7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ДКРС,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Держфінінспекції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</w:t>
      </w:r>
    </w:p>
    <w:p w:rsidR="00EA77B7" w:rsidRDefault="005024E3" w:rsidP="00D32B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2011</w:t>
      </w:r>
      <w:r w:rsidRPr="005024E3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379" w:rsidRDefault="00EA77B7" w:rsidP="00EA77B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(кількість од.)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217"/>
        <w:gridCol w:w="1012"/>
        <w:gridCol w:w="897"/>
        <w:gridCol w:w="1233"/>
      </w:tblGrid>
      <w:tr w:rsidR="00281522" w:rsidRPr="002B2379" w:rsidTr="00AC28A2">
        <w:tc>
          <w:tcPr>
            <w:tcW w:w="5387" w:type="dxa"/>
            <w:vMerge w:val="restart"/>
            <w:hideMark/>
          </w:tcPr>
          <w:p w:rsidR="00281522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22" w:rsidRPr="002B2379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4359" w:type="dxa"/>
            <w:gridSpan w:val="4"/>
          </w:tcPr>
          <w:p w:rsidR="00281522" w:rsidRPr="002B2379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</w:tc>
      </w:tr>
      <w:tr w:rsidR="00281522" w:rsidRPr="002B2379" w:rsidTr="00281522">
        <w:tc>
          <w:tcPr>
            <w:tcW w:w="5387" w:type="dxa"/>
            <w:vMerge/>
            <w:hideMark/>
          </w:tcPr>
          <w:p w:rsidR="00281522" w:rsidRPr="002B2379" w:rsidRDefault="00281522" w:rsidP="002B23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81522" w:rsidRPr="002B2379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12" w:type="dxa"/>
            <w:hideMark/>
          </w:tcPr>
          <w:p w:rsidR="00281522" w:rsidRPr="002B2379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97" w:type="dxa"/>
            <w:hideMark/>
          </w:tcPr>
          <w:p w:rsidR="00281522" w:rsidRPr="002B2379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33" w:type="dxa"/>
            <w:hideMark/>
          </w:tcPr>
          <w:p w:rsidR="00281522" w:rsidRPr="002B2379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місяців</w:t>
            </w:r>
          </w:p>
          <w:p w:rsidR="00281522" w:rsidRPr="002B2379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281522" w:rsidRPr="00013B3D" w:rsidTr="00281522">
        <w:tc>
          <w:tcPr>
            <w:tcW w:w="5387" w:type="dxa"/>
            <w:hideMark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1.Кількість підприємств, установ і організацій, охоплених ревізіями, перевірками державних закупівель та комісійними перевірками, 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 т.ч. бюджетних установ</w:t>
            </w:r>
          </w:p>
        </w:tc>
        <w:tc>
          <w:tcPr>
            <w:tcW w:w="1217" w:type="dxa"/>
          </w:tcPr>
          <w:p w:rsidR="00281522" w:rsidRPr="008D36CA" w:rsidRDefault="008D36CA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14333</w:t>
            </w:r>
          </w:p>
          <w:p w:rsidR="008D36CA" w:rsidRPr="008D36CA" w:rsidRDefault="008D36CA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CA" w:rsidRPr="008D36CA" w:rsidRDefault="008D36CA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CA" w:rsidRPr="008D36CA" w:rsidRDefault="008D36CA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9431</w:t>
            </w:r>
          </w:p>
        </w:tc>
        <w:tc>
          <w:tcPr>
            <w:tcW w:w="1012" w:type="dxa"/>
            <w:hideMark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12473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897" w:type="dxa"/>
            <w:hideMark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8 938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5 289</w:t>
            </w:r>
          </w:p>
        </w:tc>
        <w:tc>
          <w:tcPr>
            <w:tcW w:w="1233" w:type="dxa"/>
            <w:hideMark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3 315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1522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2 246</w:t>
            </w:r>
          </w:p>
        </w:tc>
      </w:tr>
      <w:tr w:rsidR="00281522" w:rsidRPr="00013B3D" w:rsidTr="00281522">
        <w:tc>
          <w:tcPr>
            <w:tcW w:w="5387" w:type="dxa"/>
            <w:hideMark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2.Кількість підприємств, установ і організацій,  в яких виявлено фінансові порушення</w:t>
            </w:r>
            <w:r w:rsidR="00EA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 т.ч. бюджетних установ</w:t>
            </w:r>
          </w:p>
        </w:tc>
        <w:tc>
          <w:tcPr>
            <w:tcW w:w="1217" w:type="dxa"/>
          </w:tcPr>
          <w:p w:rsidR="00281522" w:rsidRPr="008D36CA" w:rsidRDefault="008D36CA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13488</w:t>
            </w:r>
          </w:p>
          <w:p w:rsidR="00441F47" w:rsidRDefault="00441F47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CA" w:rsidRPr="008D36CA" w:rsidRDefault="008D36CA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9153</w:t>
            </w:r>
          </w:p>
        </w:tc>
        <w:tc>
          <w:tcPr>
            <w:tcW w:w="1012" w:type="dxa"/>
            <w:hideMark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11940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7846</w:t>
            </w:r>
          </w:p>
        </w:tc>
        <w:tc>
          <w:tcPr>
            <w:tcW w:w="897" w:type="dxa"/>
            <w:hideMark/>
          </w:tcPr>
          <w:p w:rsidR="00281522" w:rsidRPr="00013B3D" w:rsidRDefault="00281522" w:rsidP="00D32B0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8 234</w:t>
            </w:r>
          </w:p>
          <w:p w:rsidR="00281522" w:rsidRPr="00013B3D" w:rsidRDefault="00281522" w:rsidP="00D32B0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522" w:rsidRPr="00013B3D" w:rsidRDefault="00281522" w:rsidP="00D32B0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</w:t>
            </w:r>
          </w:p>
        </w:tc>
        <w:tc>
          <w:tcPr>
            <w:tcW w:w="1233" w:type="dxa"/>
            <w:hideMark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3 177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2 184</w:t>
            </w:r>
          </w:p>
        </w:tc>
      </w:tr>
      <w:tr w:rsidR="00281522" w:rsidRPr="00013B3D" w:rsidTr="00281522">
        <w:tc>
          <w:tcPr>
            <w:tcW w:w="5387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3.Виявлено фінансових порушень, що призвели до втрат фінансових і матеріальних ресурсів</w:t>
            </w:r>
          </w:p>
        </w:tc>
        <w:tc>
          <w:tcPr>
            <w:tcW w:w="1217" w:type="dxa"/>
          </w:tcPr>
          <w:p w:rsidR="00281522" w:rsidRPr="008D36CA" w:rsidRDefault="008D36CA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12830</w:t>
            </w:r>
          </w:p>
        </w:tc>
        <w:tc>
          <w:tcPr>
            <w:tcW w:w="1012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</w:t>
            </w:r>
          </w:p>
        </w:tc>
        <w:tc>
          <w:tcPr>
            <w:tcW w:w="897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1233" w:type="dxa"/>
          </w:tcPr>
          <w:p w:rsidR="00281522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3 121</w:t>
            </w:r>
          </w:p>
        </w:tc>
      </w:tr>
      <w:tr w:rsidR="00281522" w:rsidRPr="00013B3D" w:rsidTr="00281522">
        <w:tc>
          <w:tcPr>
            <w:tcW w:w="5387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4.Недоотримано фінансових ресурсів </w:t>
            </w:r>
          </w:p>
        </w:tc>
        <w:tc>
          <w:tcPr>
            <w:tcW w:w="1217" w:type="dxa"/>
          </w:tcPr>
          <w:p w:rsidR="00281522" w:rsidRPr="008D36CA" w:rsidRDefault="008D36CA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10034</w:t>
            </w:r>
          </w:p>
        </w:tc>
        <w:tc>
          <w:tcPr>
            <w:tcW w:w="1012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9 120</w:t>
            </w:r>
          </w:p>
        </w:tc>
        <w:tc>
          <w:tcPr>
            <w:tcW w:w="897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4 478</w:t>
            </w:r>
          </w:p>
        </w:tc>
        <w:tc>
          <w:tcPr>
            <w:tcW w:w="1233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1 982</w:t>
            </w:r>
          </w:p>
        </w:tc>
      </w:tr>
      <w:tr w:rsidR="00281522" w:rsidRPr="00013B3D" w:rsidTr="00281522">
        <w:tc>
          <w:tcPr>
            <w:tcW w:w="5387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5.Проведення витрат з порушенням законодавства</w:t>
            </w:r>
          </w:p>
        </w:tc>
        <w:tc>
          <w:tcPr>
            <w:tcW w:w="1217" w:type="dxa"/>
          </w:tcPr>
          <w:p w:rsidR="00281522" w:rsidRPr="008D36CA" w:rsidRDefault="008D36CA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12275</w:t>
            </w:r>
          </w:p>
        </w:tc>
        <w:tc>
          <w:tcPr>
            <w:tcW w:w="1012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11 143</w:t>
            </w:r>
          </w:p>
        </w:tc>
        <w:tc>
          <w:tcPr>
            <w:tcW w:w="897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7 764</w:t>
            </w:r>
          </w:p>
        </w:tc>
        <w:tc>
          <w:tcPr>
            <w:tcW w:w="1233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3 032</w:t>
            </w:r>
          </w:p>
        </w:tc>
      </w:tr>
      <w:tr w:rsidR="00281522" w:rsidRPr="00013B3D" w:rsidTr="00281522">
        <w:tc>
          <w:tcPr>
            <w:tcW w:w="5387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Нецільові витрати державних ресурсів</w:t>
            </w:r>
            <w:r w:rsidR="00E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 т.ч. у бюджетних установах</w:t>
            </w:r>
          </w:p>
        </w:tc>
        <w:tc>
          <w:tcPr>
            <w:tcW w:w="1217" w:type="dxa"/>
          </w:tcPr>
          <w:p w:rsidR="00281522" w:rsidRPr="008D36CA" w:rsidRDefault="008D36CA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  <w:p w:rsidR="008D36CA" w:rsidRPr="008D36CA" w:rsidRDefault="008D36CA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012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1 437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</w:t>
            </w:r>
          </w:p>
        </w:tc>
        <w:tc>
          <w:tcPr>
            <w:tcW w:w="897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233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363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338</w:t>
            </w:r>
          </w:p>
        </w:tc>
      </w:tr>
      <w:tr w:rsidR="00281522" w:rsidRPr="00013B3D" w:rsidTr="008D36CA">
        <w:trPr>
          <w:trHeight w:val="539"/>
        </w:trPr>
        <w:tc>
          <w:tcPr>
            <w:tcW w:w="5387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Незаконні витрати</w:t>
            </w:r>
            <w:r w:rsidR="00EA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 т.ч. у бюджетних установах</w:t>
            </w:r>
          </w:p>
        </w:tc>
        <w:tc>
          <w:tcPr>
            <w:tcW w:w="1217" w:type="dxa"/>
          </w:tcPr>
          <w:p w:rsidR="00281522" w:rsidRPr="008D36CA" w:rsidRDefault="008D36CA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12023</w:t>
            </w:r>
          </w:p>
          <w:p w:rsidR="008D36CA" w:rsidRPr="008D36CA" w:rsidRDefault="008D36CA" w:rsidP="008D36CA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6CA">
              <w:rPr>
                <w:rFonts w:ascii="Times New Roman" w:hAnsi="Times New Roman" w:cs="Times New Roman"/>
                <w:sz w:val="24"/>
                <w:szCs w:val="28"/>
              </w:rPr>
              <w:t>8528</w:t>
            </w:r>
          </w:p>
        </w:tc>
        <w:tc>
          <w:tcPr>
            <w:tcW w:w="1012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10 970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7 499</w:t>
            </w:r>
          </w:p>
        </w:tc>
        <w:tc>
          <w:tcPr>
            <w:tcW w:w="897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7 643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4 898</w:t>
            </w:r>
          </w:p>
        </w:tc>
        <w:tc>
          <w:tcPr>
            <w:tcW w:w="1233" w:type="dxa"/>
          </w:tcPr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2 987</w:t>
            </w:r>
          </w:p>
          <w:p w:rsidR="00281522" w:rsidRPr="00013B3D" w:rsidRDefault="00281522" w:rsidP="002B237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3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2 086</w:t>
            </w:r>
          </w:p>
        </w:tc>
      </w:tr>
    </w:tbl>
    <w:p w:rsidR="00501056" w:rsidRDefault="00501056" w:rsidP="00DC3AE2">
      <w:pPr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55A1" w:rsidRDefault="00DD7DFF" w:rsidP="00D255A1">
      <w:pPr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Із  таблиці видно</w:t>
      </w:r>
      <w:r w:rsidR="007657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що фінансові порушення при проведенні ревізій та перевірок виявлені більше як у 90% </w:t>
      </w:r>
      <w:r w:rsidR="007657DD" w:rsidRPr="00013B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підприємств, установ і організацій</w:t>
      </w:r>
      <w:r w:rsidR="0076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(2010</w:t>
      </w:r>
      <w:r w:rsidR="00941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6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р.-</w:t>
      </w:r>
      <w:r w:rsidR="00DC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6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94</w:t>
      </w:r>
      <w:r w:rsidR="00941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6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%, 2011</w:t>
      </w:r>
      <w:r w:rsidR="00941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6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р.- </w:t>
      </w:r>
      <w:r w:rsidR="00DC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96</w:t>
      </w:r>
      <w:r w:rsidR="00941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C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</w:t>
      </w:r>
      <w:r w:rsidR="0076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2012</w:t>
      </w:r>
      <w:r w:rsidR="00941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6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р.-</w:t>
      </w:r>
      <w:r w:rsidR="00DC6ED6" w:rsidRPr="00DC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C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92</w:t>
      </w:r>
      <w:r w:rsidR="00941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C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%, 2013</w:t>
      </w:r>
      <w:r w:rsidR="00941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C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р.- 96</w:t>
      </w:r>
      <w:r w:rsidR="00941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C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%</w:t>
      </w:r>
      <w:r w:rsidR="00765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DC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Хоча кількість та сума порушень за останні роки має тенденцію до зменшення, вони все ж таки є суттєвими. Для порівняння наведемо приклад</w:t>
      </w:r>
      <w:r w:rsidR="00941D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DC6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1D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1D3F" w:rsidRPr="00013B3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езаконні витрати</w:t>
      </w:r>
      <w:r w:rsidR="0094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2012 р. виявленні</w:t>
      </w:r>
      <w:r w:rsidR="00941D3F" w:rsidRPr="0094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1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Держфінінспекцією</w:t>
      </w:r>
      <w:proofErr w:type="spellEnd"/>
      <w:r w:rsidR="0094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 склали </w:t>
      </w:r>
      <w:r w:rsidR="00941D3F" w:rsidRPr="00941D3F">
        <w:rPr>
          <w:rFonts w:ascii="Times New Roman" w:eastAsia="Times New Roman" w:hAnsi="Times New Roman" w:cs="Times New Roman"/>
          <w:lang w:eastAsia="ru-RU"/>
        </w:rPr>
        <w:t xml:space="preserve">2 486 291,63 тис. грн., що становить </w:t>
      </w:r>
      <w:r w:rsidR="00941D3F">
        <w:rPr>
          <w:rFonts w:ascii="Times New Roman" w:eastAsia="Times New Roman" w:hAnsi="Times New Roman" w:cs="Times New Roman"/>
          <w:lang w:eastAsia="ru-RU"/>
        </w:rPr>
        <w:t>майже 58</w:t>
      </w:r>
      <w:r w:rsidR="00941D3F" w:rsidRPr="00941D3F">
        <w:rPr>
          <w:rFonts w:ascii="Times New Roman" w:eastAsia="Times New Roman" w:hAnsi="Times New Roman" w:cs="Times New Roman"/>
          <w:lang w:eastAsia="ru-RU"/>
        </w:rPr>
        <w:t xml:space="preserve">% </w:t>
      </w:r>
      <w:r w:rsidR="00941D3F" w:rsidRPr="00941D3F">
        <w:rPr>
          <w:rFonts w:ascii="Times New Roman" w:hAnsi="Times New Roman" w:cs="Times New Roman"/>
          <w:szCs w:val="28"/>
        </w:rPr>
        <w:t>видатків</w:t>
      </w:r>
      <w:r w:rsidR="00941D3F" w:rsidRPr="00941D3F">
        <w:rPr>
          <w:rFonts w:ascii="Times New Roman" w:eastAsia="Times New Roman" w:hAnsi="Times New Roman" w:cs="Times New Roman"/>
          <w:lang w:eastAsia="ru-RU"/>
        </w:rPr>
        <w:t xml:space="preserve"> обласного бюджету Львівської області</w:t>
      </w:r>
      <w:r w:rsidR="00941D3F">
        <w:rPr>
          <w:rFonts w:ascii="Times New Roman" w:eastAsia="Times New Roman" w:hAnsi="Times New Roman" w:cs="Times New Roman"/>
          <w:lang w:eastAsia="ru-RU"/>
        </w:rPr>
        <w:t xml:space="preserve"> за цей рік</w:t>
      </w:r>
      <w:r w:rsidR="00941D3F" w:rsidRPr="00941D3F">
        <w:rPr>
          <w:rFonts w:ascii="Times New Roman" w:eastAsia="Times New Roman" w:hAnsi="Times New Roman" w:cs="Times New Roman"/>
          <w:lang w:eastAsia="ru-RU"/>
        </w:rPr>
        <w:t>.</w:t>
      </w:r>
    </w:p>
    <w:p w:rsidR="00D255A1" w:rsidRDefault="00D20542" w:rsidP="00D255A1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численних </w:t>
      </w:r>
      <w:r w:rsidRPr="00D20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 свідчить про низьку ефективність системи державного фінансового контролю</w:t>
      </w:r>
      <w:r w:rsidR="006957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тому числі </w:t>
      </w:r>
      <w:r w:rsidR="0069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r w:rsidR="00CC28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28A3" w:rsidRPr="00C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 його реформування</w:t>
      </w:r>
      <w:r w:rsidR="0069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6957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безвідповідальність окремих керівників</w:t>
      </w:r>
      <w:r w:rsidRPr="00D2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794" w:rsidRPr="00695794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695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розпорядників бюджетних коштів. </w:t>
      </w:r>
    </w:p>
    <w:p w:rsidR="00507EE3" w:rsidRDefault="00507EE3" w:rsidP="00D255A1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 зазначити, що реформування системи ДВФК в Україні</w:t>
      </w:r>
      <w:r w:rsidR="00D255A1" w:rsidRPr="00D2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розпочато ще 2005 році</w:t>
      </w:r>
      <w:r w:rsidRPr="00D2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5A1" w:rsidRPr="00D2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здійснюється в три етапи. </w:t>
      </w:r>
      <w:r w:rsidR="00BD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ріоритетними напрямами діяльності </w:t>
      </w:r>
      <w:proofErr w:type="spellStart"/>
      <w:r w:rsidRPr="00D25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Держфінінспекції</w:t>
      </w:r>
      <w:proofErr w:type="spellEnd"/>
      <w:r w:rsidRPr="00D2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</w:t>
      </w:r>
      <w:r w:rsidR="00BD6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третьому етапі (2012</w:t>
      </w:r>
      <w:r w:rsidR="00BD62DC" w:rsidRPr="00BD62DC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BD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2016рр.) </w:t>
      </w:r>
      <w:r w:rsidRPr="00D255A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сфері реформуван</w:t>
      </w:r>
      <w:r w:rsidR="00BD62DC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вітчизняної системи ДВФК є</w:t>
      </w:r>
      <w:r w:rsidRPr="00D2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розробка методології з внутрішнього контролю та внутрішнього аудиту; реалізація заходів щодо запровадження європейської моделі ДВФК в Україні (проведення навчань, пілотних проектів, організація та участь у засіданнях круглих столів, брифінгів, конференцій, консультацій та інших подібних заходах); підтримка проведення організаційно-структурних </w:t>
      </w:r>
      <w:r w:rsidRPr="00D25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змін щодо утворення</w:t>
      </w:r>
      <w:r w:rsidRPr="00D25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5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 внутрішнього аудиту; регулювання стану внутрішнього аудиту</w:t>
      </w:r>
      <w:r w:rsidR="00D255A1" w:rsidRPr="00D2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інші.</w:t>
      </w:r>
      <w:r w:rsidRPr="00D2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BB9" w:rsidRPr="000E0BB9" w:rsidRDefault="000E0BB9" w:rsidP="00EA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0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3528DF" w:rsidRPr="000E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Держфінінспекцією</w:t>
      </w:r>
      <w:proofErr w:type="spellEnd"/>
      <w:r w:rsidR="003528DF" w:rsidRPr="000E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</w:t>
      </w:r>
      <w:r w:rsidR="003528DF" w:rsidRPr="000E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напрямку реформування </w:t>
      </w:r>
      <w:r w:rsidR="003528DF" w:rsidRPr="000E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ДВФК</w:t>
      </w:r>
      <w:r w:rsidR="003528DF" w:rsidRPr="000E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приведення його у відповідність до вимог ЄС  проведена значна робота</w:t>
      </w:r>
      <w:r w:rsidR="0011688B" w:rsidRPr="000E0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 на наш погляд,</w:t>
      </w:r>
      <w:r w:rsidR="003528DF" w:rsidRPr="000E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688B" w:rsidRPr="000E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виконується основна вимога це − </w:t>
      </w:r>
      <w:r w:rsidR="0011688B" w:rsidRPr="000E0B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відповідальність керівника за </w:t>
      </w:r>
      <w:r w:rsidR="00EA173B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управління</w:t>
      </w:r>
      <w:r w:rsidRPr="000E0B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і контроль </w:t>
      </w:r>
      <w:r w:rsidR="00E32734">
        <w:rPr>
          <w:rFonts w:ascii="Times New Roman" w:eastAsia="Times New Roman" w:hAnsi="Times New Roman" w:cs="Times New Roman"/>
          <w:sz w:val="24"/>
          <w:szCs w:val="20"/>
          <w:lang w:eastAsia="ru-RU"/>
        </w:rPr>
        <w:t>очолюваного ним</w:t>
      </w:r>
      <w:r w:rsidR="00E32734" w:rsidRPr="000E0B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E0BB9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органу.</w:t>
      </w:r>
    </w:p>
    <w:p w:rsidR="000E0BB9" w:rsidRPr="000E0BB9" w:rsidRDefault="00EA173B" w:rsidP="0057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0E0BB9" w:rsidRPr="000E0B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Недостатнім є розуміння керівниками </w:t>
      </w:r>
      <w:r w:rsidR="00E32734" w:rsidRPr="000E0BB9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органів</w:t>
      </w:r>
      <w:r w:rsidR="00E32734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32734">
        <w:rPr>
          <w:rFonts w:ascii="Times New Roman" w:eastAsia="Times New Roman" w:hAnsi="Times New Roman" w:cs="Times New Roman"/>
          <w:sz w:val="24"/>
          <w:szCs w:val="20"/>
          <w:lang w:eastAsia="ru-RU"/>
        </w:rPr>
        <w:t>державної</w:t>
      </w:r>
      <w:r w:rsidR="00E32734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</w:t>
      </w:r>
      <w:r w:rsidR="00E327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комунальної власності</w:t>
      </w:r>
      <w:r w:rsidR="000E0BB9" w:rsidRPr="000E0B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їх  персональної  відповідальності  за діяльність та досягнення мети очолюваних ними органів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E327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що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призводить до порушень фінансової дисципліни.</w:t>
      </w:r>
    </w:p>
    <w:p w:rsidR="00EA173B" w:rsidRPr="001E71FB" w:rsidRDefault="00574A15" w:rsidP="00574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  <w:r w:rsidR="00EA173B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Перехід</w:t>
      </w:r>
      <w:r w:rsidR="00EA173B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від  адміністративної  до  управлінської </w:t>
      </w:r>
      <w:r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культури</w:t>
      </w:r>
      <w:r w:rsidR="00EA173B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r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державному та комунальному секторі сприятиме</w:t>
      </w:r>
      <w:r w:rsidR="00EA173B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ефективно</w:t>
      </w:r>
      <w:r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>му</w:t>
      </w:r>
      <w:r w:rsidR="00EA173B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управлінню фінансами, </w:t>
      </w:r>
      <w:r w:rsidR="00EA173B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>оптимізації фінансових  витрат</w:t>
      </w:r>
      <w:r w:rsid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1E71FB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E71FB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зміцненню </w:t>
      </w:r>
      <w:r w:rsid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фінансової дисципліни, </w:t>
      </w:r>
      <w:r w:rsidR="001E71FB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>оперативному реагуванню на виникнення  або загрозу  виникнення  фактів  неефективного  використання державних фінансів та фінансових порушень</w:t>
      </w:r>
      <w:r w:rsidR="00EA173B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із забезпечення функціонування системи  державного  внутрішнього  фінансового   контролю   шляхом підвищення ефективності використання наявних</w:t>
      </w:r>
      <w:r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A173B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можливостей</w:t>
      </w:r>
      <w:r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дасть позитивний результат</w:t>
      </w:r>
      <w:r w:rsidR="00EA173B" w:rsidRPr="001E71F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A173B" w:rsidRPr="001E71FB" w:rsidRDefault="00EA173B" w:rsidP="00116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173B" w:rsidRDefault="00EA173B" w:rsidP="00116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3528DF" w:rsidRDefault="003528DF" w:rsidP="00D255A1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FB" w:rsidRPr="00811C60" w:rsidRDefault="004E0F75" w:rsidP="001E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77492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</w:t>
      </w:r>
    </w:p>
    <w:p w:rsidR="00811C60" w:rsidRPr="00811C60" w:rsidRDefault="00811C60" w:rsidP="00811C60">
      <w:pPr>
        <w:tabs>
          <w:tab w:val="left" w:pos="2748"/>
        </w:tabs>
        <w:ind w:firstLine="680"/>
        <w:jc w:val="both"/>
        <w:rPr>
          <w:rFonts w:ascii="Times New Roman" w:hAnsi="Times New Roman" w:cs="Times New Roman"/>
        </w:rPr>
      </w:pPr>
    </w:p>
    <w:sectPr w:rsidR="00811C60" w:rsidRPr="00811C60" w:rsidSect="000748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762"/>
    <w:multiLevelType w:val="hybridMultilevel"/>
    <w:tmpl w:val="4468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203"/>
    <w:multiLevelType w:val="hybridMultilevel"/>
    <w:tmpl w:val="286C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24FBC"/>
    <w:multiLevelType w:val="hybridMultilevel"/>
    <w:tmpl w:val="6644D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5D61DF"/>
    <w:multiLevelType w:val="hybridMultilevel"/>
    <w:tmpl w:val="F56C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F5"/>
    <w:rsid w:val="00013B3D"/>
    <w:rsid w:val="00066304"/>
    <w:rsid w:val="000748BB"/>
    <w:rsid w:val="000846F7"/>
    <w:rsid w:val="000E0BB9"/>
    <w:rsid w:val="0011688B"/>
    <w:rsid w:val="00117DEA"/>
    <w:rsid w:val="001624A1"/>
    <w:rsid w:val="001E71FB"/>
    <w:rsid w:val="002261E0"/>
    <w:rsid w:val="00281522"/>
    <w:rsid w:val="002B2379"/>
    <w:rsid w:val="002F4518"/>
    <w:rsid w:val="00304CCD"/>
    <w:rsid w:val="003528DF"/>
    <w:rsid w:val="00441F47"/>
    <w:rsid w:val="004610F5"/>
    <w:rsid w:val="00471900"/>
    <w:rsid w:val="004E0F75"/>
    <w:rsid w:val="00501056"/>
    <w:rsid w:val="005024E3"/>
    <w:rsid w:val="00507EE3"/>
    <w:rsid w:val="00566AB4"/>
    <w:rsid w:val="00567A9A"/>
    <w:rsid w:val="00574A15"/>
    <w:rsid w:val="00695794"/>
    <w:rsid w:val="006B0C4A"/>
    <w:rsid w:val="006B50E0"/>
    <w:rsid w:val="006D3844"/>
    <w:rsid w:val="006D3DEA"/>
    <w:rsid w:val="00707115"/>
    <w:rsid w:val="007072E6"/>
    <w:rsid w:val="00724C85"/>
    <w:rsid w:val="007657DD"/>
    <w:rsid w:val="00811C60"/>
    <w:rsid w:val="008811D6"/>
    <w:rsid w:val="008D36CA"/>
    <w:rsid w:val="00937D52"/>
    <w:rsid w:val="00941D3F"/>
    <w:rsid w:val="00992230"/>
    <w:rsid w:val="009D47CE"/>
    <w:rsid w:val="00A60DB7"/>
    <w:rsid w:val="00B156B6"/>
    <w:rsid w:val="00B24972"/>
    <w:rsid w:val="00B315DB"/>
    <w:rsid w:val="00B72283"/>
    <w:rsid w:val="00BC3E04"/>
    <w:rsid w:val="00BD62DC"/>
    <w:rsid w:val="00C23687"/>
    <w:rsid w:val="00C6220F"/>
    <w:rsid w:val="00CC28A3"/>
    <w:rsid w:val="00D20542"/>
    <w:rsid w:val="00D255A1"/>
    <w:rsid w:val="00D32B00"/>
    <w:rsid w:val="00D502F5"/>
    <w:rsid w:val="00DB11F2"/>
    <w:rsid w:val="00DC3AE2"/>
    <w:rsid w:val="00DC6ED6"/>
    <w:rsid w:val="00DD6EB7"/>
    <w:rsid w:val="00DD7DFF"/>
    <w:rsid w:val="00E32734"/>
    <w:rsid w:val="00EA173B"/>
    <w:rsid w:val="00EA77B7"/>
    <w:rsid w:val="00E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D"/>
    <w:pPr>
      <w:spacing w:after="0"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style"/>
    <w:basedOn w:val="a0"/>
    <w:rsid w:val="00BC3E04"/>
  </w:style>
  <w:style w:type="character" w:customStyle="1" w:styleId="spelle">
    <w:name w:val="spelle"/>
    <w:basedOn w:val="a0"/>
    <w:rsid w:val="00BC3E04"/>
  </w:style>
  <w:style w:type="paragraph" w:styleId="a3">
    <w:name w:val="Balloon Text"/>
    <w:basedOn w:val="a"/>
    <w:link w:val="a4"/>
    <w:uiPriority w:val="99"/>
    <w:semiHidden/>
    <w:unhideWhenUsed/>
    <w:rsid w:val="00BC3E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04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2B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2379"/>
    <w:pPr>
      <w:ind w:left="720"/>
      <w:contextualSpacing/>
    </w:pPr>
  </w:style>
  <w:style w:type="paragraph" w:customStyle="1" w:styleId="a7">
    <w:name w:val="Знак Знак Знак"/>
    <w:basedOn w:val="a"/>
    <w:rsid w:val="00941D3F"/>
    <w:pPr>
      <w:widowControl w:val="0"/>
      <w:suppressAutoHyphens/>
      <w:spacing w:line="240" w:lineRule="auto"/>
    </w:pPr>
    <w:rPr>
      <w:rFonts w:ascii="Verdana" w:eastAsia="Arial Unicode MS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D"/>
    <w:pPr>
      <w:spacing w:after="0"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style"/>
    <w:basedOn w:val="a0"/>
    <w:rsid w:val="00BC3E04"/>
  </w:style>
  <w:style w:type="character" w:customStyle="1" w:styleId="spelle">
    <w:name w:val="spelle"/>
    <w:basedOn w:val="a0"/>
    <w:rsid w:val="00BC3E04"/>
  </w:style>
  <w:style w:type="paragraph" w:styleId="a3">
    <w:name w:val="Balloon Text"/>
    <w:basedOn w:val="a"/>
    <w:link w:val="a4"/>
    <w:uiPriority w:val="99"/>
    <w:semiHidden/>
    <w:unhideWhenUsed/>
    <w:rsid w:val="00BC3E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04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2B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2379"/>
    <w:pPr>
      <w:ind w:left="720"/>
      <w:contextualSpacing/>
    </w:pPr>
  </w:style>
  <w:style w:type="paragraph" w:customStyle="1" w:styleId="a7">
    <w:name w:val="Знак Знак Знак"/>
    <w:basedOn w:val="a"/>
    <w:rsid w:val="00941D3F"/>
    <w:pPr>
      <w:widowControl w:val="0"/>
      <w:suppressAutoHyphens/>
      <w:spacing w:line="240" w:lineRule="auto"/>
    </w:pPr>
    <w:rPr>
      <w:rFonts w:ascii="Verdana" w:eastAsia="Arial Unicode MS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8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0A1E-2B51-4EDB-88EA-7530AE86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2013-09-24T13:44:00Z</dcterms:created>
  <dcterms:modified xsi:type="dcterms:W3CDTF">2013-09-26T15:49:00Z</dcterms:modified>
</cp:coreProperties>
</file>