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A4" w:rsidRPr="009945A4" w:rsidRDefault="009945A4" w:rsidP="002518A8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D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6D63">
        <w:rPr>
          <w:rFonts w:ascii="Times New Roman" w:hAnsi="Times New Roman" w:cs="Times New Roman"/>
          <w:b/>
          <w:sz w:val="28"/>
          <w:szCs w:val="28"/>
        </w:rPr>
        <w:t>Шот</w:t>
      </w:r>
      <w:proofErr w:type="spellEnd"/>
      <w:r w:rsidRPr="008B6D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А.П.</w:t>
      </w:r>
    </w:p>
    <w:p w:rsidR="009945A4" w:rsidRDefault="009945A4" w:rsidP="002518A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9945A4" w:rsidRDefault="009945A4" w:rsidP="002518A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Львівської державної фінансової академії</w:t>
      </w:r>
    </w:p>
    <w:p w:rsidR="002518A8" w:rsidRDefault="002518A8" w:rsidP="002518A8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45A4" w:rsidRPr="009945A4" w:rsidRDefault="009945A4" w:rsidP="002518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Проблеми забезпеченості України енергоресурсами та їх вплив на розвиток нетрадиційних та відновлювальних джерел енергії</w:t>
      </w:r>
    </w:p>
    <w:p w:rsidR="009945A4" w:rsidRDefault="009945A4" w:rsidP="002518A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5A4" w:rsidRPr="00337BD4" w:rsidRDefault="00337BD4" w:rsidP="002518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BD4">
        <w:rPr>
          <w:rFonts w:ascii="Times New Roman" w:eastAsia="Calibri" w:hAnsi="Times New Roman" w:cs="Times New Roman"/>
          <w:sz w:val="28"/>
          <w:szCs w:val="28"/>
        </w:rPr>
        <w:t xml:space="preserve">Сучасний </w:t>
      </w:r>
      <w:r>
        <w:rPr>
          <w:rFonts w:ascii="Times New Roman" w:eastAsia="Calibri" w:hAnsi="Times New Roman" w:cs="Times New Roman"/>
          <w:sz w:val="28"/>
          <w:szCs w:val="28"/>
        </w:rPr>
        <w:t>рівень розвитку вітчизняної економіки характеризується наявністю цілого комплексу проблем, перш за все, проблем забезпечення сталого розвитку суспільства енергетичними ресурсами. Необхідною умовою такого розвитку є надійне забезпечення потреб в енергії, які зростають пропорційно росту соціально-економічного прогресу.</w:t>
      </w:r>
    </w:p>
    <w:p w:rsidR="009945A4" w:rsidRDefault="008D384A" w:rsidP="002518A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Скорочення енергетичних ресурсів,</w:t>
      </w:r>
      <w:r w:rsidRPr="00F4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різке зростання цін на них, низький рівень ефективності використання встановленої потужності на електростанціях та негативний вплив</w:t>
      </w:r>
      <w:r w:rsidRPr="00F457EC">
        <w:rPr>
          <w:rFonts w:ascii="Times New Roman" w:hAnsi="Times New Roman" w:cs="Times New Roman"/>
          <w:sz w:val="28"/>
          <w:szCs w:val="28"/>
        </w:rPr>
        <w:t xml:space="preserve"> спалювання </w:t>
      </w:r>
      <w:r>
        <w:rPr>
          <w:rFonts w:ascii="Times New Roman" w:hAnsi="Times New Roman" w:cs="Times New Roman"/>
          <w:sz w:val="28"/>
          <w:szCs w:val="28"/>
        </w:rPr>
        <w:t xml:space="preserve">енергоресурсів </w:t>
      </w:r>
      <w:r w:rsidRPr="00F457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навколишнє середовище, </w:t>
      </w:r>
      <w:r w:rsidRPr="00F457EC">
        <w:rPr>
          <w:rFonts w:ascii="Times New Roman" w:hAnsi="Times New Roman" w:cs="Times New Roman"/>
          <w:sz w:val="28"/>
          <w:szCs w:val="28"/>
        </w:rPr>
        <w:t>зміну</w:t>
      </w:r>
      <w:r>
        <w:rPr>
          <w:rFonts w:ascii="Times New Roman" w:hAnsi="Times New Roman" w:cs="Times New Roman"/>
          <w:sz w:val="28"/>
          <w:szCs w:val="28"/>
        </w:rPr>
        <w:t xml:space="preserve"> клімату, а також, що найбільш важливо, на життя та здоров’я людей призводить до ситуації, за якої питання задоволення попиту на енергоносії та необхідність розвитку нетрадиційних та відновлювальних джерел енергії</w:t>
      </w:r>
      <w:r w:rsidRPr="00F457EC">
        <w:rPr>
          <w:rFonts w:ascii="Times New Roman" w:hAnsi="Times New Roman" w:cs="Times New Roman"/>
          <w:sz w:val="28"/>
          <w:szCs w:val="28"/>
        </w:rPr>
        <w:t xml:space="preserve"> </w:t>
      </w:r>
      <w:r w:rsidR="002518A8">
        <w:rPr>
          <w:rFonts w:ascii="Times New Roman" w:hAnsi="Times New Roman" w:cs="Times New Roman"/>
          <w:sz w:val="28"/>
          <w:szCs w:val="28"/>
        </w:rPr>
        <w:t xml:space="preserve"> (НВДЕ) вже сьогодні стає проблемою як світової політики так і України.</w:t>
      </w:r>
      <w:r w:rsidR="00204D2D">
        <w:rPr>
          <w:rFonts w:ascii="Times New Roman" w:hAnsi="Times New Roman" w:cs="Times New Roman"/>
          <w:sz w:val="28"/>
          <w:szCs w:val="28"/>
        </w:rPr>
        <w:t xml:space="preserve"> </w:t>
      </w:r>
      <w:r w:rsidR="009945A4">
        <w:rPr>
          <w:rFonts w:ascii="Times New Roman" w:hAnsi="Times New Roman" w:cs="Times New Roman"/>
          <w:sz w:val="28"/>
          <w:szCs w:val="28"/>
        </w:rPr>
        <w:t xml:space="preserve">Нарощування темпів розвитку та використання </w:t>
      </w:r>
      <w:r w:rsidR="009945A4" w:rsidRPr="00F457EC">
        <w:rPr>
          <w:rFonts w:ascii="Times New Roman" w:hAnsi="Times New Roman" w:cs="Times New Roman"/>
          <w:sz w:val="28"/>
          <w:szCs w:val="28"/>
        </w:rPr>
        <w:t>НВДЕ</w:t>
      </w:r>
      <w:r w:rsidR="009945A4">
        <w:rPr>
          <w:rFonts w:ascii="Times New Roman" w:hAnsi="Times New Roman" w:cs="Times New Roman"/>
          <w:sz w:val="28"/>
          <w:szCs w:val="28"/>
        </w:rPr>
        <w:t xml:space="preserve"> є одним із важливих заходів державної енергетичної політики як в Україні та і світі. Тому дослідження розвитку </w:t>
      </w:r>
      <w:r w:rsidR="009945A4" w:rsidRPr="00F457EC">
        <w:rPr>
          <w:rFonts w:ascii="Times New Roman" w:hAnsi="Times New Roman" w:cs="Times New Roman"/>
          <w:sz w:val="28"/>
          <w:szCs w:val="28"/>
        </w:rPr>
        <w:t>НВДЕ</w:t>
      </w:r>
      <w:r w:rsidR="009945A4">
        <w:rPr>
          <w:rFonts w:ascii="Times New Roman" w:hAnsi="Times New Roman" w:cs="Times New Roman"/>
          <w:sz w:val="28"/>
          <w:szCs w:val="28"/>
        </w:rPr>
        <w:t xml:space="preserve"> в Україні з метою підвищення рівня використання встановленої потужності, забезпечення економічної безпеки та зменшення енергетичної залежності, є на сьогодні актуальним. </w:t>
      </w:r>
    </w:p>
    <w:p w:rsidR="009945A4" w:rsidRDefault="009945A4" w:rsidP="000E37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16"/>
        </w:rPr>
        <w:t xml:space="preserve">Необхідність </w:t>
      </w:r>
      <w:r>
        <w:rPr>
          <w:rFonts w:ascii="TimesNewRoman" w:hAnsi="TimesNewRoman" w:cs="TimesNewRoman"/>
          <w:color w:val="000000" w:themeColor="text1"/>
          <w:sz w:val="30"/>
          <w:szCs w:val="28"/>
        </w:rPr>
        <w:t xml:space="preserve">розвитку </w:t>
      </w:r>
      <w:r w:rsidRPr="001E7AEE">
        <w:rPr>
          <w:rFonts w:ascii="Times New Roman" w:eastAsia="Times New Roman" w:hAnsi="Times New Roman" w:cs="Times New Roman"/>
          <w:sz w:val="28"/>
          <w:szCs w:val="28"/>
          <w:lang w:eastAsia="uk-UA"/>
        </w:rPr>
        <w:t>НВДЕ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зумовлена низкою факторів, серед яких один з найвагоміших – забезпеченість країни власними енергетичними ресурсами та рівень їх використання. Слід зазначити, що енергетична політика більшості європейських держав  побудована таким чином, що у структурі паливно-енергетичного балансу найбільшу частку у використанні займають ті ресурси,  рівень запасів яких є найбільший, або перевищує загальносвітовий.</w:t>
      </w:r>
    </w:p>
    <w:p w:rsidR="009945A4" w:rsidRPr="00AE3ACA" w:rsidRDefault="009945A4" w:rsidP="004C55D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7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Наприклад, в Росії  найвищий рівень запасів газу (більше як у 10 разів переважає середньосвітовий), тому частка його використання  в паливно-енергетичному балансі становить 54,9 %. У Польщі, відповідно, рівень запасів вугілля у кілька разів більший за загальносвітовий, і тому частка його використання – 66,4 %.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К</w:t>
      </w:r>
      <w:r w:rsidRPr="004147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раїни, де рівень запасів енергоресурсів є нижчим за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вітовий, частка використання відповідних</w:t>
      </w:r>
      <w:r w:rsidRPr="004147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запасів є незначною. Прикладом є такі країни як Франція,  Японія та Польща (відповідно 14,4 %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, </w:t>
      </w:r>
      <w:r w:rsidRPr="004147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12,7 %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 та 11,4% </w:t>
      </w:r>
      <w:r w:rsidRPr="004147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по газу і 5,8 % та 15,2 % по вугіллю)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 Доведено, що структура  та обсяг споживання  енергоресурсів прямо залежить  і від кількості населення, чим більша кількість населення тим вищий рівень споживання енергоресурсів та рівень життя (табл.1)</w:t>
      </w:r>
      <w:r w:rsidRPr="0041475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.</w:t>
      </w:r>
    </w:p>
    <w:p w:rsidR="004C55D5" w:rsidRDefault="004C55D5" w:rsidP="004C55D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6A451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Отже,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дотримання пропорцій між наявністю запасів, видобутком та їх споживанням у великій мірі гарантує країні енергетичну, а відповідно і економічну незалежність.</w:t>
      </w:r>
    </w:p>
    <w:p w:rsidR="004C55D5" w:rsidRDefault="004C55D5" w:rsidP="009945A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9945A4" w:rsidRPr="000E3703" w:rsidRDefault="009945A4" w:rsidP="009945A4">
      <w:pPr>
        <w:spacing w:line="240" w:lineRule="auto"/>
        <w:jc w:val="right"/>
        <w:rPr>
          <w:rFonts w:ascii="Times New Roman" w:eastAsia="Times New Roman" w:hAnsi="Times New Roman" w:cs="Times New Roman"/>
          <w:szCs w:val="28"/>
          <w:lang w:eastAsia="uk-UA"/>
        </w:rPr>
      </w:pPr>
      <w:r w:rsidRPr="000E3703">
        <w:rPr>
          <w:rFonts w:ascii="Times New Roman" w:eastAsia="Times New Roman" w:hAnsi="Times New Roman" w:cs="Times New Roman"/>
          <w:sz w:val="24"/>
          <w:szCs w:val="28"/>
          <w:lang w:eastAsia="uk-UA"/>
        </w:rPr>
        <w:lastRenderedPageBreak/>
        <w:t>Таблиця</w:t>
      </w:r>
      <w:r w:rsidRPr="000E3703">
        <w:rPr>
          <w:rFonts w:ascii="Times New Roman" w:eastAsia="Times New Roman" w:hAnsi="Times New Roman" w:cs="Times New Roman"/>
          <w:szCs w:val="28"/>
          <w:lang w:eastAsia="uk-UA"/>
        </w:rPr>
        <w:t xml:space="preserve"> 1</w:t>
      </w:r>
    </w:p>
    <w:p w:rsidR="009945A4" w:rsidRPr="000E3703" w:rsidRDefault="009945A4" w:rsidP="009945A4">
      <w:pPr>
        <w:autoSpaceDE w:val="0"/>
        <w:autoSpaceDN w:val="0"/>
        <w:adjustRightInd w:val="0"/>
        <w:ind w:firstLine="709"/>
        <w:jc w:val="center"/>
        <w:rPr>
          <w:rFonts w:ascii="TimesNewRoman" w:hAnsi="TimesNewRoman" w:cs="TimesNewRoman"/>
          <w:color w:val="000000" w:themeColor="text1"/>
          <w:sz w:val="26"/>
          <w:szCs w:val="28"/>
        </w:rPr>
      </w:pPr>
      <w:r w:rsidRPr="000E3703">
        <w:rPr>
          <w:rFonts w:ascii="TimesNewRoman" w:hAnsi="TimesNewRoman" w:cs="TimesNewRoman"/>
          <w:color w:val="000000" w:themeColor="text1"/>
          <w:sz w:val="26"/>
          <w:szCs w:val="28"/>
        </w:rPr>
        <w:t xml:space="preserve">Структура наявних енергетичних ресурсів та їх використання </w:t>
      </w:r>
    </w:p>
    <w:p w:rsidR="009945A4" w:rsidRPr="000E3703" w:rsidRDefault="009945A4" w:rsidP="009945A4">
      <w:pPr>
        <w:autoSpaceDE w:val="0"/>
        <w:autoSpaceDN w:val="0"/>
        <w:adjustRightInd w:val="0"/>
        <w:ind w:firstLine="709"/>
        <w:jc w:val="center"/>
        <w:rPr>
          <w:rFonts w:ascii="TimesNewRoman" w:hAnsi="TimesNewRoman" w:cs="TimesNewRoman"/>
          <w:color w:val="000000" w:themeColor="text1"/>
          <w:sz w:val="26"/>
          <w:szCs w:val="28"/>
        </w:rPr>
      </w:pPr>
      <w:r w:rsidRPr="000E3703">
        <w:rPr>
          <w:rFonts w:ascii="TimesNewRoman" w:hAnsi="TimesNewRoman" w:cs="TimesNewRoman"/>
          <w:color w:val="000000" w:themeColor="text1"/>
          <w:sz w:val="26"/>
          <w:szCs w:val="28"/>
        </w:rPr>
        <w:t xml:space="preserve">в окремих країнах світу </w:t>
      </w:r>
    </w:p>
    <w:tbl>
      <w:tblPr>
        <w:tblStyle w:val="a7"/>
        <w:tblW w:w="9747" w:type="dxa"/>
        <w:tblLayout w:type="fixed"/>
        <w:tblLook w:val="04A0"/>
      </w:tblPr>
      <w:tblGrid>
        <w:gridCol w:w="1242"/>
        <w:gridCol w:w="1418"/>
        <w:gridCol w:w="1134"/>
        <w:gridCol w:w="1417"/>
        <w:gridCol w:w="1276"/>
        <w:gridCol w:w="1134"/>
        <w:gridCol w:w="851"/>
        <w:gridCol w:w="1275"/>
      </w:tblGrid>
      <w:tr w:rsidR="009945A4" w:rsidRPr="00C1511F" w:rsidTr="00605957">
        <w:trPr>
          <w:trHeight w:val="269"/>
        </w:trPr>
        <w:tc>
          <w:tcPr>
            <w:tcW w:w="1242" w:type="dxa"/>
            <w:vMerge w:val="restart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</w:p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 xml:space="preserve">Країни </w:t>
            </w:r>
          </w:p>
        </w:tc>
        <w:tc>
          <w:tcPr>
            <w:tcW w:w="1418" w:type="dxa"/>
            <w:vMerge w:val="restart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proofErr w:type="spellStart"/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Населен-ня</w:t>
            </w:r>
            <w:proofErr w:type="spellEnd"/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, млн. осіб</w:t>
            </w:r>
          </w:p>
        </w:tc>
        <w:tc>
          <w:tcPr>
            <w:tcW w:w="3827" w:type="dxa"/>
            <w:gridSpan w:val="3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Наявність ресурсів</w:t>
            </w:r>
          </w:p>
        </w:tc>
        <w:tc>
          <w:tcPr>
            <w:tcW w:w="3260" w:type="dxa"/>
            <w:gridSpan w:val="3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% використання</w:t>
            </w:r>
          </w:p>
        </w:tc>
      </w:tr>
      <w:tr w:rsidR="009945A4" w:rsidRPr="00C1511F" w:rsidTr="00605957">
        <w:trPr>
          <w:trHeight w:val="136"/>
        </w:trPr>
        <w:tc>
          <w:tcPr>
            <w:tcW w:w="1242" w:type="dxa"/>
            <w:vMerge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</w:p>
        </w:tc>
        <w:tc>
          <w:tcPr>
            <w:tcW w:w="1418" w:type="dxa"/>
            <w:vMerge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</w:p>
        </w:tc>
        <w:tc>
          <w:tcPr>
            <w:tcW w:w="1134" w:type="dxa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Нафта, млн. т</w:t>
            </w:r>
          </w:p>
        </w:tc>
        <w:tc>
          <w:tcPr>
            <w:tcW w:w="1417" w:type="dxa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Газ, млрд. куб. м</w:t>
            </w:r>
          </w:p>
        </w:tc>
        <w:tc>
          <w:tcPr>
            <w:tcW w:w="1276" w:type="dxa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Вугілля, млн. т</w:t>
            </w:r>
          </w:p>
        </w:tc>
        <w:tc>
          <w:tcPr>
            <w:tcW w:w="1134" w:type="dxa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Нафта</w:t>
            </w:r>
          </w:p>
        </w:tc>
        <w:tc>
          <w:tcPr>
            <w:tcW w:w="851" w:type="dxa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Газ</w:t>
            </w:r>
          </w:p>
        </w:tc>
        <w:tc>
          <w:tcPr>
            <w:tcW w:w="1275" w:type="dxa"/>
          </w:tcPr>
          <w:p w:rsidR="009945A4" w:rsidRPr="00C1511F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C1511F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Вугілля</w:t>
            </w:r>
          </w:p>
        </w:tc>
      </w:tr>
      <w:tr w:rsidR="009945A4" w:rsidRPr="006A451E" w:rsidTr="00605957">
        <w:trPr>
          <w:trHeight w:val="269"/>
        </w:trPr>
        <w:tc>
          <w:tcPr>
            <w:tcW w:w="1242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 xml:space="preserve">Японія </w:t>
            </w:r>
          </w:p>
        </w:tc>
        <w:tc>
          <w:tcPr>
            <w:tcW w:w="1418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127,21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8</w:t>
            </w:r>
          </w:p>
        </w:tc>
        <w:tc>
          <w:tcPr>
            <w:tcW w:w="1417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39</w:t>
            </w:r>
          </w:p>
        </w:tc>
        <w:tc>
          <w:tcPr>
            <w:tcW w:w="1276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773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50,5</w:t>
            </w:r>
          </w:p>
        </w:tc>
        <w:tc>
          <w:tcPr>
            <w:tcW w:w="851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12,7</w:t>
            </w:r>
          </w:p>
        </w:tc>
        <w:tc>
          <w:tcPr>
            <w:tcW w:w="1275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15,2</w:t>
            </w:r>
          </w:p>
        </w:tc>
      </w:tr>
      <w:tr w:rsidR="009945A4" w:rsidRPr="006A451E" w:rsidTr="00605957">
        <w:trPr>
          <w:trHeight w:val="283"/>
        </w:trPr>
        <w:tc>
          <w:tcPr>
            <w:tcW w:w="1242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США</w:t>
            </w:r>
          </w:p>
        </w:tc>
        <w:tc>
          <w:tcPr>
            <w:tcW w:w="1418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285,91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3728</w:t>
            </w:r>
          </w:p>
        </w:tc>
        <w:tc>
          <w:tcPr>
            <w:tcW w:w="1417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4740</w:t>
            </w:r>
          </w:p>
        </w:tc>
        <w:tc>
          <w:tcPr>
            <w:tcW w:w="1276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249994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40,7</w:t>
            </w:r>
          </w:p>
        </w:tc>
        <w:tc>
          <w:tcPr>
            <w:tcW w:w="851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23,6</w:t>
            </w:r>
          </w:p>
        </w:tc>
        <w:tc>
          <w:tcPr>
            <w:tcW w:w="1275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23,3</w:t>
            </w:r>
          </w:p>
        </w:tc>
      </w:tr>
      <w:tr w:rsidR="009945A4" w:rsidRPr="006A451E" w:rsidTr="00605957">
        <w:trPr>
          <w:trHeight w:val="269"/>
        </w:trPr>
        <w:tc>
          <w:tcPr>
            <w:tcW w:w="1242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Франція</w:t>
            </w:r>
          </w:p>
        </w:tc>
        <w:tc>
          <w:tcPr>
            <w:tcW w:w="1418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60,91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21</w:t>
            </w:r>
          </w:p>
        </w:tc>
        <w:tc>
          <w:tcPr>
            <w:tcW w:w="1417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14</w:t>
            </w:r>
          </w:p>
        </w:tc>
        <w:tc>
          <w:tcPr>
            <w:tcW w:w="1276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36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39,0</w:t>
            </w:r>
          </w:p>
        </w:tc>
        <w:tc>
          <w:tcPr>
            <w:tcW w:w="851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14,4</w:t>
            </w:r>
          </w:p>
        </w:tc>
        <w:tc>
          <w:tcPr>
            <w:tcW w:w="1275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5,8</w:t>
            </w:r>
          </w:p>
        </w:tc>
      </w:tr>
      <w:tr w:rsidR="009945A4" w:rsidRPr="006A451E" w:rsidTr="00605957">
        <w:trPr>
          <w:trHeight w:val="283"/>
        </w:trPr>
        <w:tc>
          <w:tcPr>
            <w:tcW w:w="1242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Польща</w:t>
            </w:r>
          </w:p>
        </w:tc>
        <w:tc>
          <w:tcPr>
            <w:tcW w:w="1418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38,64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14</w:t>
            </w:r>
          </w:p>
        </w:tc>
        <w:tc>
          <w:tcPr>
            <w:tcW w:w="1417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122</w:t>
            </w:r>
          </w:p>
        </w:tc>
        <w:tc>
          <w:tcPr>
            <w:tcW w:w="1276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22160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20,9</w:t>
            </w:r>
          </w:p>
        </w:tc>
        <w:tc>
          <w:tcPr>
            <w:tcW w:w="851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11,4</w:t>
            </w:r>
          </w:p>
        </w:tc>
        <w:tc>
          <w:tcPr>
            <w:tcW w:w="1275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66,4</w:t>
            </w:r>
          </w:p>
        </w:tc>
      </w:tr>
      <w:tr w:rsidR="009945A4" w:rsidRPr="006A451E" w:rsidTr="00605957">
        <w:trPr>
          <w:trHeight w:val="283"/>
        </w:trPr>
        <w:tc>
          <w:tcPr>
            <w:tcW w:w="1242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Росія</w:t>
            </w:r>
          </w:p>
        </w:tc>
        <w:tc>
          <w:tcPr>
            <w:tcW w:w="1418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144,75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6654</w:t>
            </w:r>
          </w:p>
        </w:tc>
        <w:tc>
          <w:tcPr>
            <w:tcW w:w="1417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47730</w:t>
            </w:r>
          </w:p>
        </w:tc>
        <w:tc>
          <w:tcPr>
            <w:tcW w:w="1276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157010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18,3</w:t>
            </w:r>
          </w:p>
        </w:tc>
        <w:tc>
          <w:tcPr>
            <w:tcW w:w="851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54,9</w:t>
            </w:r>
          </w:p>
        </w:tc>
        <w:tc>
          <w:tcPr>
            <w:tcW w:w="1275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15,4</w:t>
            </w:r>
          </w:p>
        </w:tc>
      </w:tr>
      <w:tr w:rsidR="009945A4" w:rsidRPr="006A451E" w:rsidTr="00605957">
        <w:trPr>
          <w:trHeight w:val="269"/>
        </w:trPr>
        <w:tc>
          <w:tcPr>
            <w:tcW w:w="1242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Україна</w:t>
            </w:r>
          </w:p>
        </w:tc>
        <w:tc>
          <w:tcPr>
            <w:tcW w:w="1418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49,09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173</w:t>
            </w:r>
          </w:p>
        </w:tc>
        <w:tc>
          <w:tcPr>
            <w:tcW w:w="1417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825</w:t>
            </w:r>
          </w:p>
        </w:tc>
        <w:tc>
          <w:tcPr>
            <w:tcW w:w="1276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34153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11,8</w:t>
            </w:r>
          </w:p>
        </w:tc>
        <w:tc>
          <w:tcPr>
            <w:tcW w:w="851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43,7</w:t>
            </w:r>
          </w:p>
        </w:tc>
        <w:tc>
          <w:tcPr>
            <w:tcW w:w="1275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28,8</w:t>
            </w:r>
          </w:p>
        </w:tc>
      </w:tr>
      <w:tr w:rsidR="009945A4" w:rsidRPr="006A451E" w:rsidTr="00605957">
        <w:trPr>
          <w:trHeight w:val="283"/>
        </w:trPr>
        <w:tc>
          <w:tcPr>
            <w:tcW w:w="1242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Світ</w:t>
            </w:r>
          </w:p>
        </w:tc>
        <w:tc>
          <w:tcPr>
            <w:tcW w:w="1418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6102,56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142487</w:t>
            </w:r>
          </w:p>
        </w:tc>
        <w:tc>
          <w:tcPr>
            <w:tcW w:w="1417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151502</w:t>
            </w:r>
          </w:p>
        </w:tc>
        <w:tc>
          <w:tcPr>
            <w:tcW w:w="1276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984453</w:t>
            </w:r>
          </w:p>
        </w:tc>
        <w:tc>
          <w:tcPr>
            <w:tcW w:w="1134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38,8</w:t>
            </w:r>
          </w:p>
        </w:tc>
        <w:tc>
          <w:tcPr>
            <w:tcW w:w="851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23,0</w:t>
            </w:r>
          </w:p>
        </w:tc>
        <w:tc>
          <w:tcPr>
            <w:tcW w:w="1275" w:type="dxa"/>
          </w:tcPr>
          <w:p w:rsidR="009945A4" w:rsidRPr="006A451E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</w:pPr>
            <w:r w:rsidRPr="006A451E">
              <w:rPr>
                <w:rFonts w:ascii="TimesNewRoman" w:hAnsi="TimesNewRoman" w:cs="TimesNewRoman"/>
                <w:color w:val="000000" w:themeColor="text1"/>
                <w:sz w:val="26"/>
                <w:szCs w:val="28"/>
              </w:rPr>
              <w:t>22,3</w:t>
            </w:r>
          </w:p>
        </w:tc>
      </w:tr>
    </w:tbl>
    <w:p w:rsidR="009945A4" w:rsidRPr="00960E06" w:rsidRDefault="009945A4" w:rsidP="009945A4">
      <w:pPr>
        <w:autoSpaceDE w:val="0"/>
        <w:autoSpaceDN w:val="0"/>
        <w:adjustRightInd w:val="0"/>
        <w:ind w:firstLine="709"/>
        <w:jc w:val="center"/>
        <w:rPr>
          <w:rFonts w:ascii="TimesNewRoman" w:hAnsi="TimesNewRoman" w:cs="TimesNewRoman"/>
          <w:i/>
          <w:color w:val="000000" w:themeColor="text1"/>
          <w:sz w:val="28"/>
          <w:szCs w:val="28"/>
        </w:rPr>
      </w:pPr>
      <w:r w:rsidRPr="000E3703">
        <w:rPr>
          <w:rFonts w:ascii="TimesNewRoman" w:hAnsi="TimesNewRoman" w:cs="TimesNewRoman"/>
          <w:i/>
          <w:color w:val="000000" w:themeColor="text1"/>
          <w:sz w:val="26"/>
          <w:szCs w:val="28"/>
        </w:rPr>
        <w:t>Джерело: складено на підставі опрацювання літературних джерел.</w:t>
      </w:r>
    </w:p>
    <w:p w:rsidR="009945A4" w:rsidRPr="00CC6A94" w:rsidRDefault="009945A4" w:rsidP="004C55D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CC6A94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Аналіз структури використання енергетичних ресурсів (табл.1)  свідчить про високий рівень використання в Україні природного газу</w:t>
      </w:r>
      <w:r w:rsidRPr="00CC6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Враховуючи нинішню ситуацію в Україні щодо ціни на природний газ та велику залежність від імпорту можна стверджувати про енергетичну залежність України від основного постачальника газу - Росії. </w:t>
      </w:r>
    </w:p>
    <w:p w:rsidR="009945A4" w:rsidRPr="000E3703" w:rsidRDefault="009945A4" w:rsidP="000E37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NewRoman" w:hAnsi="TimesNewRoman" w:cs="TimesNewRoman"/>
          <w:color w:val="000000" w:themeColor="text1"/>
          <w:sz w:val="28"/>
          <w:szCs w:val="28"/>
        </w:rPr>
        <w:t>Отже, Україна, як і ЄС</w:t>
      </w:r>
      <w:r w:rsidRPr="00551997">
        <w:rPr>
          <w:rFonts w:ascii="TimesNewRoman" w:hAnsi="TimesNewRoman" w:cs="TimesNewRoman"/>
          <w:color w:val="000000" w:themeColor="text1"/>
          <w:sz w:val="28"/>
          <w:szCs w:val="28"/>
        </w:rPr>
        <w:t xml:space="preserve"> належить до країн частково забезпечених традиційними видами первинної енергії</w:t>
      </w:r>
      <w:r w:rsidRPr="00551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1997">
        <w:rPr>
          <w:rFonts w:ascii="TimesNewRoman" w:hAnsi="TimesNewRoman" w:cs="TimesNewRoman"/>
          <w:color w:val="000000" w:themeColor="text1"/>
          <w:sz w:val="28"/>
          <w:szCs w:val="28"/>
        </w:rPr>
        <w:t>а отже змушена вдаватися до їх імпорту</w:t>
      </w:r>
      <w:r w:rsidRPr="00551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NewRoman" w:hAnsi="TimesNewRoman" w:cs="TimesNewRoman"/>
          <w:color w:val="000000" w:themeColor="text1"/>
          <w:sz w:val="28"/>
          <w:szCs w:val="28"/>
        </w:rPr>
        <w:t xml:space="preserve">Фактична та прогнозована </w:t>
      </w:r>
      <w:r w:rsidRPr="00551997">
        <w:rPr>
          <w:rFonts w:ascii="TimesNewRoman" w:hAnsi="TimesNewRoman" w:cs="TimesNewRoman"/>
          <w:color w:val="000000" w:themeColor="text1"/>
          <w:sz w:val="28"/>
          <w:szCs w:val="28"/>
        </w:rPr>
        <w:t xml:space="preserve"> залежність України </w:t>
      </w:r>
      <w:r>
        <w:rPr>
          <w:rFonts w:ascii="TimesNewRoman" w:hAnsi="TimesNewRoman" w:cs="TimesNewRoman"/>
          <w:color w:val="000000" w:themeColor="text1"/>
          <w:sz w:val="28"/>
          <w:szCs w:val="28"/>
        </w:rPr>
        <w:t xml:space="preserve"> та країн Європейського Союзу від імпорту енергоресурсів представлена у </w:t>
      </w:r>
      <w:r w:rsidRPr="000E3703">
        <w:rPr>
          <w:rFonts w:ascii="TimesNewRoman" w:hAnsi="TimesNewRoman" w:cs="TimesNewRoman"/>
          <w:color w:val="000000" w:themeColor="text1"/>
          <w:sz w:val="28"/>
          <w:szCs w:val="28"/>
        </w:rPr>
        <w:t>табл.2.</w:t>
      </w:r>
      <w:r w:rsidRPr="000E3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5A4" w:rsidRPr="00CB0994" w:rsidRDefault="009945A4" w:rsidP="000E3703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0994">
        <w:rPr>
          <w:rFonts w:ascii="Times New Roman" w:hAnsi="Times New Roman" w:cs="Times New Roman"/>
          <w:color w:val="000000" w:themeColor="text1"/>
          <w:sz w:val="26"/>
          <w:szCs w:val="26"/>
        </w:rPr>
        <w:t>Таблиця 2</w:t>
      </w:r>
    </w:p>
    <w:p w:rsidR="009945A4" w:rsidRPr="00CB0994" w:rsidRDefault="009945A4" w:rsidP="000E370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0994">
        <w:rPr>
          <w:rFonts w:ascii="Times New Roman" w:hAnsi="Times New Roman" w:cs="Times New Roman"/>
          <w:color w:val="000000" w:themeColor="text1"/>
          <w:sz w:val="26"/>
          <w:szCs w:val="26"/>
        </w:rPr>
        <w:t>Динаміка залежності України та ЄС від імпорту енергоресурсів, (%)</w:t>
      </w:r>
    </w:p>
    <w:p w:rsidR="000E3703" w:rsidRPr="00CB0994" w:rsidRDefault="000E3703" w:rsidP="000E370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885"/>
        <w:gridCol w:w="1118"/>
        <w:gridCol w:w="1104"/>
        <w:gridCol w:w="1101"/>
        <w:gridCol w:w="1097"/>
        <w:gridCol w:w="1116"/>
        <w:gridCol w:w="1090"/>
        <w:gridCol w:w="1099"/>
        <w:gridCol w:w="1097"/>
      </w:tblGrid>
      <w:tr w:rsidR="009945A4" w:rsidRPr="00CB0994" w:rsidTr="002D608E">
        <w:trPr>
          <w:trHeight w:val="305"/>
        </w:trPr>
        <w:tc>
          <w:tcPr>
            <w:tcW w:w="885" w:type="dxa"/>
            <w:vMerge w:val="restart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Роки </w:t>
            </w:r>
          </w:p>
        </w:tc>
        <w:tc>
          <w:tcPr>
            <w:tcW w:w="1118" w:type="dxa"/>
            <w:vMerge w:val="restart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паливо</w:t>
            </w:r>
          </w:p>
        </w:tc>
        <w:tc>
          <w:tcPr>
            <w:tcW w:w="3302" w:type="dxa"/>
            <w:gridSpan w:val="3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ЄС-27</w:t>
            </w:r>
          </w:p>
        </w:tc>
        <w:tc>
          <w:tcPr>
            <w:tcW w:w="1116" w:type="dxa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86" w:type="dxa"/>
            <w:gridSpan w:val="3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Україна</w:t>
            </w:r>
          </w:p>
        </w:tc>
      </w:tr>
      <w:tr w:rsidR="009945A4" w:rsidRPr="00CB0994" w:rsidTr="002D608E">
        <w:trPr>
          <w:trHeight w:val="140"/>
        </w:trPr>
        <w:tc>
          <w:tcPr>
            <w:tcW w:w="885" w:type="dxa"/>
            <w:vMerge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18" w:type="dxa"/>
            <w:vMerge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04" w:type="dxa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вугілля</w:t>
            </w:r>
          </w:p>
        </w:tc>
        <w:tc>
          <w:tcPr>
            <w:tcW w:w="1101" w:type="dxa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нафта</w:t>
            </w:r>
          </w:p>
        </w:tc>
        <w:tc>
          <w:tcPr>
            <w:tcW w:w="1097" w:type="dxa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</w:t>
            </w:r>
          </w:p>
        </w:tc>
        <w:tc>
          <w:tcPr>
            <w:tcW w:w="1116" w:type="dxa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 паливо</w:t>
            </w:r>
          </w:p>
        </w:tc>
        <w:tc>
          <w:tcPr>
            <w:tcW w:w="1090" w:type="dxa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вугілля</w:t>
            </w:r>
          </w:p>
        </w:tc>
        <w:tc>
          <w:tcPr>
            <w:tcW w:w="1099" w:type="dxa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нафта</w:t>
            </w:r>
          </w:p>
        </w:tc>
        <w:tc>
          <w:tcPr>
            <w:tcW w:w="1097" w:type="dxa"/>
          </w:tcPr>
          <w:p w:rsidR="009945A4" w:rsidRPr="00CB0994" w:rsidRDefault="009945A4" w:rsidP="000E37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газ</w:t>
            </w:r>
          </w:p>
        </w:tc>
      </w:tr>
      <w:tr w:rsidR="009945A4" w:rsidRPr="00CB0994" w:rsidTr="002D608E">
        <w:trPr>
          <w:trHeight w:val="305"/>
        </w:trPr>
        <w:tc>
          <w:tcPr>
            <w:tcW w:w="885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2004</w:t>
            </w:r>
          </w:p>
        </w:tc>
        <w:tc>
          <w:tcPr>
            <w:tcW w:w="1118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50,5</w:t>
            </w:r>
          </w:p>
        </w:tc>
        <w:tc>
          <w:tcPr>
            <w:tcW w:w="1104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38,2</w:t>
            </w:r>
          </w:p>
        </w:tc>
        <w:tc>
          <w:tcPr>
            <w:tcW w:w="1101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80,2</w:t>
            </w:r>
          </w:p>
        </w:tc>
        <w:tc>
          <w:tcPr>
            <w:tcW w:w="1097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54,5</w:t>
            </w:r>
          </w:p>
        </w:tc>
        <w:tc>
          <w:tcPr>
            <w:tcW w:w="1116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62,3</w:t>
            </w:r>
          </w:p>
        </w:tc>
        <w:tc>
          <w:tcPr>
            <w:tcW w:w="1090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7,4</w:t>
            </w:r>
          </w:p>
        </w:tc>
        <w:tc>
          <w:tcPr>
            <w:tcW w:w="1099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83,3</w:t>
            </w:r>
          </w:p>
        </w:tc>
        <w:tc>
          <w:tcPr>
            <w:tcW w:w="1097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73,9</w:t>
            </w:r>
          </w:p>
        </w:tc>
      </w:tr>
      <w:tr w:rsidR="009945A4" w:rsidRPr="00CB0994" w:rsidTr="002D608E">
        <w:trPr>
          <w:trHeight w:val="305"/>
        </w:trPr>
        <w:tc>
          <w:tcPr>
            <w:tcW w:w="885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2010</w:t>
            </w:r>
          </w:p>
        </w:tc>
        <w:tc>
          <w:tcPr>
            <w:tcW w:w="1118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53,9</w:t>
            </w:r>
          </w:p>
        </w:tc>
        <w:tc>
          <w:tcPr>
            <w:tcW w:w="1104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46,1</w:t>
            </w:r>
          </w:p>
        </w:tc>
        <w:tc>
          <w:tcPr>
            <w:tcW w:w="1101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82,5</w:t>
            </w:r>
          </w:p>
        </w:tc>
        <w:tc>
          <w:tcPr>
            <w:tcW w:w="1097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62,7</w:t>
            </w:r>
          </w:p>
        </w:tc>
        <w:tc>
          <w:tcPr>
            <w:tcW w:w="1116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33,9</w:t>
            </w:r>
          </w:p>
        </w:tc>
        <w:tc>
          <w:tcPr>
            <w:tcW w:w="1090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7,9</w:t>
            </w:r>
          </w:p>
        </w:tc>
        <w:tc>
          <w:tcPr>
            <w:tcW w:w="1099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73,6</w:t>
            </w:r>
          </w:p>
        </w:tc>
        <w:tc>
          <w:tcPr>
            <w:tcW w:w="1097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60,3</w:t>
            </w:r>
          </w:p>
        </w:tc>
      </w:tr>
      <w:tr w:rsidR="009945A4" w:rsidRPr="00CB0994" w:rsidTr="002D608E">
        <w:trPr>
          <w:trHeight w:val="305"/>
        </w:trPr>
        <w:tc>
          <w:tcPr>
            <w:tcW w:w="885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118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62,5</w:t>
            </w:r>
          </w:p>
        </w:tc>
        <w:tc>
          <w:tcPr>
            <w:tcW w:w="1104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49,5</w:t>
            </w:r>
          </w:p>
        </w:tc>
        <w:tc>
          <w:tcPr>
            <w:tcW w:w="1101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92,1</w:t>
            </w:r>
          </w:p>
        </w:tc>
        <w:tc>
          <w:tcPr>
            <w:tcW w:w="1097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81,4</w:t>
            </w:r>
          </w:p>
        </w:tc>
        <w:tc>
          <w:tcPr>
            <w:tcW w:w="1116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24,4</w:t>
            </w:r>
          </w:p>
        </w:tc>
        <w:tc>
          <w:tcPr>
            <w:tcW w:w="1090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6,9</w:t>
            </w:r>
          </w:p>
        </w:tc>
        <w:tc>
          <w:tcPr>
            <w:tcW w:w="1099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78,7</w:t>
            </w:r>
          </w:p>
        </w:tc>
        <w:tc>
          <w:tcPr>
            <w:tcW w:w="1097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43,9</w:t>
            </w:r>
          </w:p>
        </w:tc>
      </w:tr>
      <w:tr w:rsidR="009945A4" w:rsidRPr="00CB0994" w:rsidTr="002D608E">
        <w:trPr>
          <w:trHeight w:val="289"/>
        </w:trPr>
        <w:tc>
          <w:tcPr>
            <w:tcW w:w="885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2030</w:t>
            </w:r>
          </w:p>
        </w:tc>
        <w:tc>
          <w:tcPr>
            <w:tcW w:w="1118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63,9</w:t>
            </w:r>
          </w:p>
        </w:tc>
        <w:tc>
          <w:tcPr>
            <w:tcW w:w="1104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59,0</w:t>
            </w:r>
          </w:p>
        </w:tc>
        <w:tc>
          <w:tcPr>
            <w:tcW w:w="1101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93,2</w:t>
            </w:r>
          </w:p>
        </w:tc>
        <w:tc>
          <w:tcPr>
            <w:tcW w:w="1097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84,6</w:t>
            </w:r>
          </w:p>
        </w:tc>
        <w:tc>
          <w:tcPr>
            <w:tcW w:w="1116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20,8</w:t>
            </w:r>
          </w:p>
        </w:tc>
        <w:tc>
          <w:tcPr>
            <w:tcW w:w="1090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11,2</w:t>
            </w:r>
          </w:p>
        </w:tc>
        <w:tc>
          <w:tcPr>
            <w:tcW w:w="1099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81,6</w:t>
            </w:r>
          </w:p>
        </w:tc>
        <w:tc>
          <w:tcPr>
            <w:tcW w:w="1097" w:type="dxa"/>
          </w:tcPr>
          <w:p w:rsidR="009945A4" w:rsidRPr="00CB0994" w:rsidRDefault="009945A4" w:rsidP="002D60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09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33,4</w:t>
            </w:r>
          </w:p>
        </w:tc>
      </w:tr>
    </w:tbl>
    <w:p w:rsidR="000E3703" w:rsidRPr="00F37698" w:rsidRDefault="000E3703" w:rsidP="000E37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 видно із табл.2 залежність України від  імпорту  енергоресурсів в перспективі повинна зменшитись у 3 рази, і що найбільш оптимістично, залежність від імпорту газу у двічі. </w:t>
      </w:r>
    </w:p>
    <w:p w:rsidR="009945A4" w:rsidRDefault="009945A4" w:rsidP="000E37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Проте, якщо порівняти</w:t>
      </w:r>
      <w:r w:rsidRPr="00F37698">
        <w:rPr>
          <w:rFonts w:ascii="TimesNewRomanPSMT" w:hAnsi="TimesNewRomanPSMT" w:cs="TimesNewRomanPSMT"/>
          <w:sz w:val="28"/>
          <w:szCs w:val="28"/>
        </w:rPr>
        <w:tab/>
      </w:r>
      <w:r w:rsidRPr="00E1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залежність</w:t>
      </w:r>
      <w:r w:rsidRPr="00E104E3">
        <w:rPr>
          <w:rFonts w:ascii="TimesNewRomanPSMT" w:hAnsi="TimesNewRomanPSMT" w:cs="TimesNewRomanPSMT"/>
          <w:sz w:val="28"/>
          <w:szCs w:val="28"/>
        </w:rPr>
        <w:t xml:space="preserve"> від імпорту паливно</w:t>
      </w:r>
      <w:r w:rsidRPr="00E104E3">
        <w:rPr>
          <w:rFonts w:ascii="Times New Roman" w:hAnsi="Times New Roman" w:cs="Times New Roman"/>
          <w:sz w:val="28"/>
          <w:szCs w:val="28"/>
        </w:rPr>
        <w:t>-</w:t>
      </w:r>
      <w:r w:rsidRPr="00E104E3">
        <w:rPr>
          <w:rFonts w:ascii="TimesNewRomanPSMT" w:hAnsi="TimesNewRomanPSMT" w:cs="TimesNewRomanPSMT"/>
          <w:sz w:val="28"/>
          <w:szCs w:val="28"/>
        </w:rPr>
        <w:t>енергетичних ресурсів</w:t>
      </w:r>
      <w:r>
        <w:rPr>
          <w:rFonts w:ascii="TimesNewRomanPSMT" w:hAnsi="TimesNewRomanPSMT" w:cs="TimesNewRomanPSMT"/>
          <w:sz w:val="28"/>
          <w:szCs w:val="28"/>
        </w:rPr>
        <w:t xml:space="preserve"> України</w:t>
      </w:r>
      <w:r w:rsidRPr="00E10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окремих європейських держав, то </w:t>
      </w:r>
      <w:r>
        <w:rPr>
          <w:rFonts w:ascii="TimesNewRomanPSMT" w:hAnsi="TimesNewRomanPSMT" w:cs="TimesNewRomanPSMT"/>
          <w:sz w:val="28"/>
          <w:szCs w:val="28"/>
        </w:rPr>
        <w:t>можна побачити, що</w:t>
      </w:r>
      <w:r w:rsidRPr="00E104E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Україна </w:t>
      </w:r>
      <w:r w:rsidRPr="00E104E3">
        <w:rPr>
          <w:rFonts w:ascii="TimesNewRomanPSMT" w:hAnsi="TimesNewRomanPSMT" w:cs="TimesNewRomanPSMT"/>
          <w:sz w:val="28"/>
          <w:szCs w:val="28"/>
        </w:rPr>
        <w:t>менше</w:t>
      </w:r>
      <w:r>
        <w:rPr>
          <w:rFonts w:ascii="TimesNewRomanPSMT" w:hAnsi="TimesNewRomanPSMT" w:cs="TimesNewRomanPSMT"/>
          <w:sz w:val="28"/>
          <w:szCs w:val="28"/>
        </w:rPr>
        <w:t xml:space="preserve"> залежна</w:t>
      </w:r>
      <w:r w:rsidRPr="00E104E3">
        <w:rPr>
          <w:rFonts w:ascii="Times New Roman" w:hAnsi="Times New Roman" w:cs="Times New Roman"/>
          <w:sz w:val="28"/>
          <w:szCs w:val="28"/>
        </w:rPr>
        <w:t xml:space="preserve">, </w:t>
      </w:r>
      <w:r w:rsidRPr="00E104E3">
        <w:rPr>
          <w:rFonts w:ascii="TimesNewRomanPSMT" w:hAnsi="TimesNewRomanPSMT" w:cs="TimesNewRomanPSMT"/>
          <w:sz w:val="28"/>
          <w:szCs w:val="28"/>
        </w:rPr>
        <w:t xml:space="preserve">ніж більшість </w:t>
      </w:r>
      <w:r>
        <w:rPr>
          <w:rFonts w:ascii="TimesNewRomanPSMT" w:hAnsi="TimesNewRomanPSMT" w:cs="TimesNewRomanPSMT"/>
          <w:sz w:val="28"/>
          <w:szCs w:val="28"/>
        </w:rPr>
        <w:t>країн Європи.</w:t>
      </w:r>
      <w:r w:rsidRPr="00F37698">
        <w:rPr>
          <w:rFonts w:ascii="Times New Roman" w:hAnsi="Times New Roman" w:cs="Times New Roman"/>
          <w:sz w:val="28"/>
          <w:szCs w:val="28"/>
        </w:rPr>
        <w:t xml:space="preserve"> </w:t>
      </w:r>
      <w:r w:rsidRPr="00E104E3">
        <w:rPr>
          <w:rFonts w:ascii="TimesNewRomanPSMT" w:hAnsi="TimesNewRomanPSMT" w:cs="TimesNewRomanPSMT"/>
          <w:sz w:val="28"/>
          <w:szCs w:val="28"/>
        </w:rPr>
        <w:t>Рівню України приблизно відповідають такі країни</w:t>
      </w:r>
      <w:r w:rsidRPr="00E104E3">
        <w:rPr>
          <w:rFonts w:ascii="Times New Roman" w:hAnsi="Times New Roman" w:cs="Times New Roman"/>
          <w:sz w:val="28"/>
          <w:szCs w:val="28"/>
        </w:rPr>
        <w:t xml:space="preserve">, </w:t>
      </w:r>
      <w:r w:rsidRPr="00E104E3">
        <w:rPr>
          <w:rFonts w:ascii="TimesNewRomanPSMT" w:hAnsi="TimesNewRomanPSMT" w:cs="TimesNewRomanPSMT"/>
          <w:sz w:val="28"/>
          <w:szCs w:val="28"/>
        </w:rPr>
        <w:t xml:space="preserve">як Німеччина </w:t>
      </w:r>
      <w:r w:rsidRPr="00E104E3">
        <w:rPr>
          <w:rFonts w:ascii="Times New Roman" w:hAnsi="Times New Roman" w:cs="Times New Roman"/>
          <w:sz w:val="28"/>
          <w:szCs w:val="28"/>
        </w:rPr>
        <w:t xml:space="preserve">– 61%, </w:t>
      </w:r>
      <w:r w:rsidRPr="00E104E3">
        <w:rPr>
          <w:rFonts w:ascii="TimesNewRomanPSMT" w:hAnsi="TimesNewRomanPSMT" w:cs="TimesNewRomanPSMT"/>
          <w:sz w:val="28"/>
          <w:szCs w:val="28"/>
        </w:rPr>
        <w:t xml:space="preserve">Угорщина </w:t>
      </w:r>
      <w:r w:rsidRPr="00E104E3">
        <w:rPr>
          <w:rFonts w:ascii="Times New Roman" w:hAnsi="Times New Roman" w:cs="Times New Roman"/>
          <w:sz w:val="28"/>
          <w:szCs w:val="28"/>
        </w:rPr>
        <w:t xml:space="preserve">– 63%, </w:t>
      </w:r>
      <w:r w:rsidRPr="00E104E3">
        <w:rPr>
          <w:rFonts w:ascii="TimesNewRomanPSMT" w:hAnsi="TimesNewRomanPSMT" w:cs="TimesNewRomanPSMT"/>
          <w:sz w:val="28"/>
          <w:szCs w:val="28"/>
        </w:rPr>
        <w:t xml:space="preserve">Словаччина і Литва </w:t>
      </w:r>
      <w:r w:rsidRPr="00E104E3">
        <w:rPr>
          <w:rFonts w:ascii="Times New Roman" w:hAnsi="Times New Roman" w:cs="Times New Roman"/>
          <w:sz w:val="28"/>
          <w:szCs w:val="28"/>
        </w:rPr>
        <w:t xml:space="preserve">– 64%, </w:t>
      </w:r>
      <w:r w:rsidRPr="00E104E3">
        <w:rPr>
          <w:rFonts w:ascii="TimesNewRomanPSMT" w:hAnsi="TimesNewRomanPSMT" w:cs="TimesNewRomanPSMT"/>
          <w:sz w:val="28"/>
          <w:szCs w:val="28"/>
        </w:rPr>
        <w:t xml:space="preserve">Латвія </w:t>
      </w:r>
      <w:r w:rsidR="000E3703">
        <w:rPr>
          <w:rFonts w:ascii="Times New Roman" w:hAnsi="Times New Roman" w:cs="Times New Roman"/>
          <w:sz w:val="28"/>
          <w:szCs w:val="28"/>
        </w:rPr>
        <w:t>– 66%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5A4" w:rsidRDefault="009945A4" w:rsidP="000E37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 w:rsidRPr="00D023F7">
        <w:rPr>
          <w:rFonts w:ascii="TimesNewRomanPSMT" w:hAnsi="TimesNewRomanPSMT" w:cs="TimesNewRomanPSMT"/>
          <w:sz w:val="28"/>
          <w:szCs w:val="28"/>
        </w:rPr>
        <w:t xml:space="preserve">Існуюча залежність повинна </w:t>
      </w:r>
      <w:r w:rsidRPr="00D023F7">
        <w:rPr>
          <w:rFonts w:ascii="TimesNewRomanPSMT" w:hAnsi="TimesNewRomanPSMT" w:cs="TimesNewRomanPSMT"/>
          <w:sz w:val="28"/>
          <w:szCs w:val="28"/>
        </w:rPr>
        <w:tab/>
        <w:t>сприяти економії енергоресурсів та впровадженню нов</w:t>
      </w:r>
      <w:r w:rsidR="00204D2D">
        <w:rPr>
          <w:rFonts w:ascii="TimesNewRomanPSMT" w:hAnsi="TimesNewRomanPSMT" w:cs="TimesNewRomanPSMT"/>
          <w:sz w:val="28"/>
          <w:szCs w:val="28"/>
        </w:rPr>
        <w:t xml:space="preserve">ітніх енергоощадних технологій. </w:t>
      </w:r>
      <w:r w:rsidRPr="00D023F7">
        <w:rPr>
          <w:rFonts w:ascii="TimesNewRomanPSMT" w:hAnsi="TimesNewRomanPSMT" w:cs="TimesNewRomanPSMT"/>
          <w:sz w:val="28"/>
          <w:szCs w:val="28"/>
        </w:rPr>
        <w:t>За даними Центру Разумкова Україна витрачає на виробництво одиниці продукції вчетверо більше енергії</w:t>
      </w:r>
      <w:r w:rsidRPr="00D023F7">
        <w:rPr>
          <w:rFonts w:ascii="Times New Roman" w:hAnsi="Times New Roman" w:cs="Times New Roman"/>
          <w:sz w:val="28"/>
          <w:szCs w:val="28"/>
        </w:rPr>
        <w:t xml:space="preserve">, </w:t>
      </w:r>
      <w:r w:rsidRPr="00D023F7">
        <w:rPr>
          <w:rFonts w:ascii="TimesNewRomanPSMT" w:hAnsi="TimesNewRomanPSMT" w:cs="TimesNewRomanPSMT"/>
          <w:sz w:val="28"/>
          <w:szCs w:val="28"/>
        </w:rPr>
        <w:t>ніж будь</w:t>
      </w:r>
      <w:r w:rsidRPr="00D023F7">
        <w:rPr>
          <w:rFonts w:ascii="Times New Roman" w:hAnsi="Times New Roman" w:cs="Times New Roman"/>
          <w:sz w:val="28"/>
          <w:szCs w:val="28"/>
        </w:rPr>
        <w:t>-</w:t>
      </w:r>
      <w:r w:rsidRPr="00D023F7">
        <w:rPr>
          <w:rFonts w:ascii="TimesNewRomanPSMT" w:hAnsi="TimesNewRomanPSMT" w:cs="TimesNewRomanPSMT"/>
          <w:sz w:val="28"/>
          <w:szCs w:val="28"/>
        </w:rPr>
        <w:t>яка з країн Європи</w:t>
      </w:r>
      <w:r w:rsidRPr="00D023F7">
        <w:rPr>
          <w:rFonts w:ascii="Times New Roman" w:hAnsi="Times New Roman" w:cs="Times New Roman"/>
          <w:sz w:val="28"/>
          <w:szCs w:val="28"/>
        </w:rPr>
        <w:t xml:space="preserve">. </w:t>
      </w:r>
      <w:r w:rsidRPr="00D023F7">
        <w:rPr>
          <w:rFonts w:ascii="TimesNewRomanPSMT" w:hAnsi="TimesNewRomanPSMT" w:cs="TimesNewRomanPSMT"/>
          <w:sz w:val="28"/>
          <w:szCs w:val="28"/>
        </w:rPr>
        <w:t xml:space="preserve">За підрахунками </w:t>
      </w:r>
      <w:r w:rsidR="000E3703">
        <w:rPr>
          <w:rFonts w:ascii="TimesNewRomanPSMT" w:hAnsi="TimesNewRomanPSMT" w:cs="TimesNewRomanPSMT"/>
          <w:sz w:val="28"/>
          <w:szCs w:val="28"/>
        </w:rPr>
        <w:t xml:space="preserve"> фахівців </w:t>
      </w:r>
      <w:r w:rsidRPr="00D023F7">
        <w:rPr>
          <w:rFonts w:ascii="TimesNewRomanPSMT" w:hAnsi="TimesNewRomanPSMT" w:cs="TimesNewRomanPSMT"/>
          <w:sz w:val="28"/>
          <w:szCs w:val="28"/>
        </w:rPr>
        <w:t xml:space="preserve">на </w:t>
      </w:r>
      <w:r w:rsidRPr="00D023F7">
        <w:rPr>
          <w:rFonts w:ascii="Times New Roman" w:hAnsi="Times New Roman" w:cs="Times New Roman"/>
          <w:sz w:val="28"/>
          <w:szCs w:val="28"/>
        </w:rPr>
        <w:t xml:space="preserve">1 </w:t>
      </w:r>
      <w:r w:rsidRPr="00D023F7">
        <w:rPr>
          <w:rFonts w:ascii="TimesNewRomanPSMT" w:hAnsi="TimesNewRomanPSMT" w:cs="TimesNewRomanPSMT"/>
          <w:sz w:val="28"/>
          <w:szCs w:val="28"/>
        </w:rPr>
        <w:t>кВт</w:t>
      </w:r>
      <w:r w:rsidRPr="00D023F7">
        <w:rPr>
          <w:rFonts w:ascii="Times New Roman" w:hAnsi="Times New Roman" w:cs="Times New Roman"/>
          <w:sz w:val="28"/>
          <w:szCs w:val="28"/>
        </w:rPr>
        <w:t>/</w:t>
      </w:r>
      <w:r w:rsidRPr="00D023F7">
        <w:rPr>
          <w:rFonts w:ascii="TimesNewRomanPSMT" w:hAnsi="TimesNewRomanPSMT" w:cs="TimesNewRomanPSMT"/>
          <w:sz w:val="28"/>
          <w:szCs w:val="28"/>
        </w:rPr>
        <w:t>год</w:t>
      </w:r>
      <w:r w:rsidRPr="00D023F7">
        <w:rPr>
          <w:rFonts w:ascii="Times New Roman" w:hAnsi="Times New Roman" w:cs="Times New Roman"/>
          <w:sz w:val="28"/>
          <w:szCs w:val="28"/>
        </w:rPr>
        <w:t xml:space="preserve">. </w:t>
      </w:r>
      <w:r w:rsidRPr="00D023F7">
        <w:rPr>
          <w:rFonts w:ascii="TimesNewRomanPSMT" w:hAnsi="TimesNewRomanPSMT" w:cs="TimesNewRomanPSMT"/>
          <w:sz w:val="28"/>
          <w:szCs w:val="28"/>
        </w:rPr>
        <w:lastRenderedPageBreak/>
        <w:t xml:space="preserve">споживаної в Україні енергії припадає </w:t>
      </w:r>
      <w:r w:rsidRPr="00D023F7">
        <w:rPr>
          <w:rFonts w:ascii="Times New Roman" w:hAnsi="Times New Roman" w:cs="Times New Roman"/>
          <w:sz w:val="28"/>
          <w:szCs w:val="28"/>
        </w:rPr>
        <w:t xml:space="preserve">$1,7 </w:t>
      </w:r>
      <w:r w:rsidRPr="00D023F7">
        <w:rPr>
          <w:rFonts w:ascii="TimesNewRomanPSMT" w:hAnsi="TimesNewRomanPSMT" w:cs="TimesNewRomanPSMT"/>
          <w:sz w:val="28"/>
          <w:szCs w:val="28"/>
        </w:rPr>
        <w:t>ВВП</w:t>
      </w:r>
      <w:r w:rsidRPr="00D023F7">
        <w:rPr>
          <w:rFonts w:ascii="Times New Roman" w:hAnsi="Times New Roman" w:cs="Times New Roman"/>
          <w:sz w:val="28"/>
          <w:szCs w:val="28"/>
        </w:rPr>
        <w:t xml:space="preserve">, </w:t>
      </w:r>
      <w:r w:rsidRPr="00D023F7">
        <w:rPr>
          <w:rFonts w:ascii="TimesNewRomanPSMT" w:hAnsi="TimesNewRomanPSMT" w:cs="TimesNewRomanPSMT"/>
          <w:sz w:val="28"/>
          <w:szCs w:val="28"/>
        </w:rPr>
        <w:t xml:space="preserve">тоді як у Польщі </w:t>
      </w:r>
      <w:r w:rsidRPr="00D023F7">
        <w:rPr>
          <w:rFonts w:ascii="Times New Roman" w:hAnsi="Times New Roman" w:cs="Times New Roman"/>
          <w:sz w:val="28"/>
          <w:szCs w:val="28"/>
        </w:rPr>
        <w:t xml:space="preserve">– $3,9, </w:t>
      </w:r>
      <w:r w:rsidRPr="00D023F7">
        <w:rPr>
          <w:rFonts w:ascii="TimesNewRomanPSMT" w:hAnsi="TimesNewRomanPSMT" w:cs="TimesNewRomanPSMT"/>
          <w:sz w:val="28"/>
          <w:szCs w:val="28"/>
        </w:rPr>
        <w:t xml:space="preserve">у Німеччині </w:t>
      </w:r>
      <w:r w:rsidRPr="00D023F7">
        <w:rPr>
          <w:rFonts w:ascii="Times New Roman" w:hAnsi="Times New Roman" w:cs="Times New Roman"/>
          <w:sz w:val="28"/>
          <w:szCs w:val="28"/>
        </w:rPr>
        <w:t xml:space="preserve">– $4,5. </w:t>
      </w:r>
    </w:p>
    <w:p w:rsidR="009945A4" w:rsidRPr="000179E2" w:rsidRDefault="009945A4" w:rsidP="00A640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Необхідно відзначити, що з</w:t>
      </w:r>
      <w:r w:rsidRPr="008E5527">
        <w:rPr>
          <w:rFonts w:ascii="TimesNewRomanPSMT" w:hAnsi="TimesNewRomanPSMT" w:cs="TimesNewRomanPSMT"/>
          <w:sz w:val="28"/>
          <w:szCs w:val="28"/>
        </w:rPr>
        <w:t xml:space="preserve">а </w:t>
      </w:r>
      <w:r w:rsidRPr="00A415B6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років</w:t>
      </w:r>
      <w:r w:rsidRPr="008E5527">
        <w:rPr>
          <w:rFonts w:ascii="TimesNewRomanPSMT" w:hAnsi="TimesNewRomanPSMT" w:cs="TimesNewRomanPSMT"/>
          <w:sz w:val="28"/>
          <w:szCs w:val="28"/>
        </w:rPr>
        <w:t xml:space="preserve"> незалежності </w:t>
      </w:r>
      <w:r>
        <w:rPr>
          <w:rFonts w:ascii="TimesNewRomanPSMT" w:hAnsi="TimesNewRomanPSMT" w:cs="TimesNewRomanPSMT"/>
          <w:sz w:val="28"/>
          <w:szCs w:val="28"/>
        </w:rPr>
        <w:t>України ці показники майже не змінились,</w:t>
      </w:r>
      <w:r w:rsidRPr="008E5527">
        <w:rPr>
          <w:rFonts w:ascii="Times New Roman" w:hAnsi="Times New Roman" w:cs="Times New Roman"/>
          <w:sz w:val="28"/>
          <w:szCs w:val="28"/>
        </w:rPr>
        <w:t xml:space="preserve"> </w:t>
      </w:r>
      <w:r w:rsidRPr="008E5527">
        <w:rPr>
          <w:rFonts w:ascii="TimesNewRomanPSMT" w:hAnsi="TimesNewRomanPSMT" w:cs="TimesNewRomanPSMT"/>
          <w:sz w:val="28"/>
          <w:szCs w:val="28"/>
        </w:rPr>
        <w:t xml:space="preserve">що свідчить про </w:t>
      </w:r>
      <w:r>
        <w:rPr>
          <w:rFonts w:ascii="TimesNewRomanPSMT" w:hAnsi="TimesNewRomanPSMT" w:cs="TimesNewRomanPSMT"/>
          <w:sz w:val="28"/>
          <w:szCs w:val="28"/>
        </w:rPr>
        <w:t>низький рівень використання енергоощадних</w:t>
      </w:r>
      <w:r w:rsidRPr="008E5527">
        <w:rPr>
          <w:rFonts w:ascii="TimesNewRomanPSMT" w:hAnsi="TimesNewRomanPSMT" w:cs="TimesNewRomanPSMT"/>
          <w:sz w:val="28"/>
          <w:szCs w:val="28"/>
        </w:rPr>
        <w:t xml:space="preserve"> технологій в  економі</w:t>
      </w:r>
      <w:r>
        <w:rPr>
          <w:rFonts w:ascii="TimesNewRomanPSMT" w:hAnsi="TimesNewRomanPSMT" w:cs="TimesNewRomanPSMT"/>
          <w:sz w:val="28"/>
          <w:szCs w:val="28"/>
        </w:rPr>
        <w:t>ці країни</w:t>
      </w:r>
      <w:r w:rsidRPr="008E5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5B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зменшення використання енергор</w:t>
      </w:r>
      <w:r w:rsidR="00A415B6">
        <w:rPr>
          <w:rFonts w:ascii="Times New Roman" w:hAnsi="Times New Roman" w:cs="Times New Roman"/>
          <w:sz w:val="28"/>
          <w:szCs w:val="28"/>
        </w:rPr>
        <w:t>есурсів повинна бути розроблена програма</w:t>
      </w:r>
      <w:r>
        <w:rPr>
          <w:rFonts w:ascii="Times New Roman" w:hAnsi="Times New Roman" w:cs="Times New Roman"/>
          <w:sz w:val="28"/>
          <w:szCs w:val="28"/>
        </w:rPr>
        <w:t xml:space="preserve"> підвищення еф</w:t>
      </w:r>
      <w:r w:rsidR="00A415B6">
        <w:rPr>
          <w:rFonts w:ascii="Times New Roman" w:hAnsi="Times New Roman" w:cs="Times New Roman"/>
          <w:sz w:val="28"/>
          <w:szCs w:val="28"/>
        </w:rPr>
        <w:t>ективності використання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5B6">
        <w:rPr>
          <w:rFonts w:ascii="TimesNewRomanPSMT" w:hAnsi="TimesNewRomanPSMT" w:cs="TimesNewRomanPSMT"/>
          <w:sz w:val="28"/>
          <w:szCs w:val="28"/>
        </w:rPr>
        <w:t>та державна підтримка</w:t>
      </w:r>
      <w:r w:rsidRPr="000179E2">
        <w:rPr>
          <w:rFonts w:ascii="TimesNewRomanPSMT" w:hAnsi="TimesNewRomanPSMT" w:cs="TimesNewRomanPSMT"/>
          <w:sz w:val="28"/>
          <w:szCs w:val="28"/>
        </w:rPr>
        <w:t xml:space="preserve"> енергоощадної техніки та технологій</w:t>
      </w:r>
      <w:r w:rsidRPr="000179E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9E2">
        <w:rPr>
          <w:rFonts w:ascii="TimesNewRomanPSMT" w:hAnsi="TimesNewRomanPSMT" w:cs="TimesNewRomanPSMT"/>
          <w:sz w:val="28"/>
          <w:szCs w:val="28"/>
        </w:rPr>
        <w:t>масштабне застосування</w:t>
      </w:r>
      <w:r w:rsidR="00A415B6">
        <w:rPr>
          <w:rFonts w:ascii="TimesNewRomanPSMT" w:hAnsi="TimesNewRomanPSMT" w:cs="TimesNewRomanPSMT"/>
          <w:sz w:val="28"/>
          <w:szCs w:val="28"/>
        </w:rPr>
        <w:t xml:space="preserve"> </w:t>
      </w:r>
      <w:r w:rsidRPr="000179E2">
        <w:rPr>
          <w:rFonts w:ascii="TimesNewRomanPSMT" w:hAnsi="TimesNewRomanPSMT" w:cs="TimesNewRomanPSMT"/>
          <w:sz w:val="28"/>
          <w:szCs w:val="28"/>
        </w:rPr>
        <w:t>ВНДЕ</w:t>
      </w:r>
      <w:r w:rsidRPr="000179E2">
        <w:rPr>
          <w:rFonts w:ascii="Times New Roman" w:hAnsi="Times New Roman" w:cs="Times New Roman"/>
          <w:sz w:val="28"/>
          <w:szCs w:val="28"/>
        </w:rPr>
        <w:t>.</w:t>
      </w:r>
    </w:p>
    <w:p w:rsidR="009945A4" w:rsidRPr="009B0430" w:rsidRDefault="009945A4" w:rsidP="00A415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hyperlink r:id="rId5" w:history="1"/>
      <w:r w:rsidR="00A415B6" w:rsidRPr="00A415B6">
        <w:rPr>
          <w:rFonts w:ascii="Times New Roman" w:hAnsi="Times New Roman" w:cs="Times New Roman"/>
          <w:sz w:val="28"/>
        </w:rPr>
        <w:t>Відомо, що</w:t>
      </w:r>
      <w:r w:rsidRPr="00A415B6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55199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1997">
        <w:rPr>
          <w:rFonts w:ascii="TimesNewRoman" w:hAnsi="TimesNewRoman" w:cs="TimesNewRoman"/>
          <w:color w:val="000000" w:themeColor="text1"/>
          <w:sz w:val="28"/>
          <w:szCs w:val="28"/>
        </w:rPr>
        <w:t>кономіка України є однією з найбільш енергоємних у світі</w:t>
      </w:r>
      <w:r w:rsidRPr="005519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3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402C">
        <w:rPr>
          <w:rFonts w:ascii="Times New Roman" w:eastAsia="Times New Roman" w:hAnsi="Times New Roman" w:cs="Times New Roman"/>
          <w:sz w:val="28"/>
          <w:szCs w:val="24"/>
          <w:lang w:eastAsia="uk-UA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нергоємність ВВП України в 3-5</w:t>
      </w:r>
      <w:r w:rsidRPr="00CB71D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раз перевищує показники розвинених країн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світу</w:t>
      </w:r>
      <w:r w:rsidR="001B7BD9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і на найближчу перспективу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загальносвітового</w:t>
      </w:r>
      <w:r w:rsidRPr="00692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ня</w:t>
      </w:r>
      <w:r w:rsidRPr="00692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енергоємності ВВП </w:t>
      </w:r>
      <w:r w:rsidRPr="00866C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Україні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буде досягнено</w:t>
      </w:r>
      <w:r w:rsidRPr="00692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(0,33 т н. е./1000 дол. в Україні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проти 0,19 т н.е. / 1000 дол. у</w:t>
      </w:r>
      <w:r w:rsidRPr="006926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світі в 2025 рр.). Таким чином високі потреби країни в паливо-енергетичних ресурсах залишатимуться, що позначатиметься на рівні енергетичної незалежності.</w:t>
      </w:r>
    </w:p>
    <w:p w:rsidR="009945A4" w:rsidRPr="00082B64" w:rsidRDefault="009945A4" w:rsidP="00A6402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B13F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Слід зазначити, що цінність окремих видів відновлюваної енергії визначається і тим, яку кількість традиційних енергоресурсів вона може замінити. Так, електрична енергія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 Україні </w:t>
      </w:r>
      <w:r w:rsidRPr="001B13F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вироблена ГЕС, ВЕС, фотоелектричними установками заміщає майже втричі більше енергії викопного палива, яку необхідно було б витратити на виробництво аналогічної кількості електроенергії. В 2030 році можна було б довести річне використання відновлюваних джерел енергії в обсягах, що заміщують споживання 20 млн. </w:t>
      </w:r>
      <w:proofErr w:type="spellStart"/>
      <w:r w:rsidRPr="001B13F5">
        <w:rPr>
          <w:rFonts w:ascii="Times New Roman" w:eastAsia="Times New Roman" w:hAnsi="Times New Roman" w:cs="Times New Roman"/>
          <w:sz w:val="28"/>
          <w:szCs w:val="24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.</w:t>
      </w:r>
      <w:r w:rsidRPr="001B13F5">
        <w:rPr>
          <w:rFonts w:ascii="Times New Roman" w:eastAsia="Times New Roman" w:hAnsi="Times New Roman" w:cs="Times New Roman"/>
          <w:sz w:val="28"/>
          <w:szCs w:val="24"/>
          <w:lang w:eastAsia="uk-UA"/>
        </w:rPr>
        <w:t>у.п</w:t>
      </w:r>
      <w:proofErr w:type="spellEnd"/>
      <w:r w:rsidRPr="001B13F5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./рік викопних палив та атомної енергії, а в 2050 р. до 42 млн. т у. п., що становить 20% сучасного споживання енергоресурсів в Україні. </w:t>
      </w:r>
    </w:p>
    <w:p w:rsidR="009945A4" w:rsidRPr="00814805" w:rsidRDefault="009945A4" w:rsidP="00A6402C">
      <w:pPr>
        <w:pStyle w:val="a3"/>
        <w:spacing w:before="0" w:beforeAutospacing="0" w:after="0" w:afterAutospacing="0"/>
        <w:ind w:firstLine="720"/>
        <w:jc w:val="both"/>
        <w:rPr>
          <w:i/>
          <w:sz w:val="28"/>
        </w:rPr>
      </w:pPr>
      <w:r w:rsidRPr="00991934">
        <w:rPr>
          <w:sz w:val="28"/>
        </w:rPr>
        <w:t>Україна має значний потенціал для розвит</w:t>
      </w:r>
      <w:r>
        <w:rPr>
          <w:sz w:val="28"/>
        </w:rPr>
        <w:t>ку відновлюваної енергетики. Те</w:t>
      </w:r>
      <w:r w:rsidRPr="00991934">
        <w:rPr>
          <w:sz w:val="28"/>
        </w:rPr>
        <w:t>ж можна сказати відносно інших альтернативних традиційних джерел енергії - таким, як: шахтний метан, торф, буре вугілля, скидний потенціал побутових і промислових стоків та ін.  Проте впровадженням НВДЕ у країні відбувається дуже низькими темпами, і їх вклад в енергетичний баланс країни є незначним</w:t>
      </w:r>
      <w:r w:rsidRPr="000E3D81">
        <w:rPr>
          <w:sz w:val="28"/>
          <w:szCs w:val="28"/>
        </w:rPr>
        <w:t>.</w:t>
      </w:r>
      <w:r w:rsidRPr="00991934">
        <w:rPr>
          <w:sz w:val="28"/>
        </w:rPr>
        <w:t xml:space="preserve"> </w:t>
      </w:r>
    </w:p>
    <w:p w:rsidR="00A6402C" w:rsidRDefault="009945A4" w:rsidP="004C55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26F6">
        <w:rPr>
          <w:rFonts w:ascii="Times New Roman" w:hAnsi="Times New Roman" w:cs="Times New Roman"/>
          <w:sz w:val="28"/>
          <w:szCs w:val="28"/>
        </w:rPr>
        <w:t xml:space="preserve">Низькі темпи розвитку в Україні НВДЕ пов’язані як з політичними проблемами так і не досконалими технологіями, низьким рівнем їх економічної ефективності. </w:t>
      </w:r>
    </w:p>
    <w:p w:rsidR="009945A4" w:rsidRDefault="00A6402C" w:rsidP="001B7BD9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BD9" w:rsidRPr="001B7BD9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Отже,</w:t>
      </w:r>
      <w:r w:rsidR="001B7BD9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 w:rsidR="001B7BD9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н</w:t>
      </w:r>
      <w:r w:rsidR="009945A4" w:rsidRPr="00AD3B7E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а підставі</w:t>
      </w:r>
      <w:r w:rsidR="009945A4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 xml:space="preserve"> вищевказаного,</w:t>
      </w:r>
      <w:r w:rsidR="009945A4" w:rsidRPr="00C5214F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 xml:space="preserve"> можна зробити висновок про те, </w:t>
      </w:r>
      <w:r w:rsidR="009945A4" w:rsidRPr="00D76AE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що</w:t>
      </w:r>
      <w:r w:rsidR="009945A4" w:rsidRPr="00D76AE7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4"/>
          <w:lang w:eastAsia="uk-UA"/>
        </w:rPr>
        <w:t xml:space="preserve"> </w:t>
      </w:r>
      <w:r w:rsidR="009945A4" w:rsidRPr="003A6497">
        <w:rPr>
          <w:rFonts w:ascii="Times New Roman" w:eastAsia="Times New Roman" w:hAnsi="Times New Roman" w:cs="Times New Roman"/>
          <w:bCs/>
          <w:sz w:val="28"/>
          <w:szCs w:val="24"/>
          <w:lang w:eastAsia="uk-UA"/>
        </w:rPr>
        <w:t>п</w:t>
      </w:r>
      <w:r w:rsidR="009945A4" w:rsidRPr="00D76AE7">
        <w:rPr>
          <w:rFonts w:ascii="Times New Roman" w:eastAsia="Times New Roman" w:hAnsi="Times New Roman" w:cs="Times New Roman"/>
          <w:sz w:val="28"/>
          <w:szCs w:val="24"/>
          <w:lang w:eastAsia="uk-UA"/>
        </w:rPr>
        <w:t>ріоритет розвитку відновлювальних джерел енергії дає додаткові переваги для України, такі як енергетична незалежність, технічне оновлення енергетичного комплексу, зменшення негативного впливу на навколишнє середовище</w:t>
      </w:r>
      <w:r w:rsidR="00A415B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. </w:t>
      </w:r>
      <w:r w:rsidR="009945A4">
        <w:rPr>
          <w:rFonts w:ascii="Times New Roman" w:eastAsia="Times New Roman" w:hAnsi="Times New Roman" w:cs="Times New Roman"/>
          <w:sz w:val="28"/>
          <w:szCs w:val="24"/>
          <w:lang w:eastAsia="uk-UA"/>
        </w:rPr>
        <w:t>Для цього</w:t>
      </w:r>
      <w:r w:rsidR="009945A4" w:rsidRPr="00D76AE7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</w:t>
      </w:r>
      <w:r w:rsidR="009945A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трібна </w:t>
      </w:r>
      <w:r w:rsidR="009945A4" w:rsidRPr="00D76AE7">
        <w:rPr>
          <w:rFonts w:ascii="Times New Roman" w:eastAsia="Times New Roman" w:hAnsi="Times New Roman" w:cs="Times New Roman"/>
          <w:sz w:val="28"/>
          <w:szCs w:val="24"/>
          <w:lang w:eastAsia="uk-UA"/>
        </w:rPr>
        <w:t>політична воля уряду та створення відповідних умов для розвитку відновлювальної енергетики в Україні.</w:t>
      </w:r>
    </w:p>
    <w:p w:rsidR="00AB1134" w:rsidRDefault="009945A4" w:rsidP="00A415B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ab/>
      </w:r>
      <w:r w:rsidRPr="00D76AE7">
        <w:rPr>
          <w:rFonts w:ascii="Times New Roman" w:eastAsia="Times New Roman" w:hAnsi="Times New Roman" w:cs="Times New Roman"/>
          <w:sz w:val="28"/>
          <w:szCs w:val="24"/>
          <w:lang w:eastAsia="uk-UA"/>
        </w:rPr>
        <w:t>Створення ефективної бази фундаментальних і прикладних наукових досліджень та створення проектно-конструкторської бази для розробки і впровадження нової техніки та технологій відновлюваної енергетики, удосконалення законодавчо-правової та нормативно-технічної бази відновлюваної енергетики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дозволить Україні у найближчій перспективі наблизитися до європейського рівня  розвитку НВДЕ.</w:t>
      </w:r>
      <w:r w:rsidR="00A415B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</w:p>
    <w:sectPr w:rsidR="00AB1134" w:rsidSect="004C55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D7"/>
    <w:multiLevelType w:val="hybridMultilevel"/>
    <w:tmpl w:val="23FA8998"/>
    <w:lvl w:ilvl="0" w:tplc="3100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16629"/>
    <w:multiLevelType w:val="hybridMultilevel"/>
    <w:tmpl w:val="23FA8998"/>
    <w:lvl w:ilvl="0" w:tplc="3100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14AE5"/>
    <w:multiLevelType w:val="hybridMultilevel"/>
    <w:tmpl w:val="2D4413C8"/>
    <w:lvl w:ilvl="0" w:tplc="38766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3F0602"/>
    <w:multiLevelType w:val="hybridMultilevel"/>
    <w:tmpl w:val="6C2ADF04"/>
    <w:lvl w:ilvl="0" w:tplc="224E5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4E7592"/>
    <w:multiLevelType w:val="hybridMultilevel"/>
    <w:tmpl w:val="23FA8998"/>
    <w:lvl w:ilvl="0" w:tplc="31003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5A4"/>
    <w:rsid w:val="000E3703"/>
    <w:rsid w:val="001B7BD9"/>
    <w:rsid w:val="00204D2D"/>
    <w:rsid w:val="002518A8"/>
    <w:rsid w:val="002D608E"/>
    <w:rsid w:val="00337BD4"/>
    <w:rsid w:val="004C55D5"/>
    <w:rsid w:val="005517EA"/>
    <w:rsid w:val="005932BD"/>
    <w:rsid w:val="006D06FF"/>
    <w:rsid w:val="008D384A"/>
    <w:rsid w:val="009945A4"/>
    <w:rsid w:val="00A415B6"/>
    <w:rsid w:val="00A6402C"/>
    <w:rsid w:val="00AB1134"/>
    <w:rsid w:val="00B40760"/>
    <w:rsid w:val="00C76B59"/>
    <w:rsid w:val="00C81BD2"/>
    <w:rsid w:val="00CB0994"/>
    <w:rsid w:val="00D33046"/>
    <w:rsid w:val="00F46284"/>
    <w:rsid w:val="00FC5F2A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A4"/>
    <w:pPr>
      <w:spacing w:line="360" w:lineRule="auto"/>
      <w:ind w:firstLine="0"/>
      <w:jc w:val="left"/>
    </w:pPr>
  </w:style>
  <w:style w:type="paragraph" w:styleId="2">
    <w:name w:val="heading 2"/>
    <w:basedOn w:val="a"/>
    <w:link w:val="20"/>
    <w:uiPriority w:val="9"/>
    <w:qFormat/>
    <w:rsid w:val="00994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5A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9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945A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45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945A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9945A4"/>
    <w:pPr>
      <w:ind w:left="720"/>
      <w:contextualSpacing/>
    </w:pPr>
  </w:style>
  <w:style w:type="character" w:customStyle="1" w:styleId="hps">
    <w:name w:val="hps"/>
    <w:basedOn w:val="a0"/>
    <w:rsid w:val="009945A4"/>
  </w:style>
  <w:style w:type="character" w:styleId="a6">
    <w:name w:val="Strong"/>
    <w:basedOn w:val="a0"/>
    <w:uiPriority w:val="22"/>
    <w:qFormat/>
    <w:rsid w:val="009945A4"/>
    <w:rPr>
      <w:b/>
      <w:bCs/>
    </w:rPr>
  </w:style>
  <w:style w:type="table" w:styleId="a7">
    <w:name w:val="Table Grid"/>
    <w:basedOn w:val="a1"/>
    <w:rsid w:val="009945A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4p6">
    <w:name w:val="ft4p6"/>
    <w:basedOn w:val="a0"/>
    <w:rsid w:val="009945A4"/>
  </w:style>
  <w:style w:type="character" w:customStyle="1" w:styleId="ft0p6">
    <w:name w:val="ft0p6"/>
    <w:basedOn w:val="a0"/>
    <w:rsid w:val="009945A4"/>
  </w:style>
  <w:style w:type="character" w:customStyle="1" w:styleId="ft3p6">
    <w:name w:val="ft3p6"/>
    <w:basedOn w:val="a0"/>
    <w:rsid w:val="009945A4"/>
  </w:style>
  <w:style w:type="character" w:customStyle="1" w:styleId="ft3p4">
    <w:name w:val="ft3p4"/>
    <w:basedOn w:val="a0"/>
    <w:rsid w:val="009945A4"/>
  </w:style>
  <w:style w:type="character" w:customStyle="1" w:styleId="ft4p4">
    <w:name w:val="ft4p4"/>
    <w:basedOn w:val="a0"/>
    <w:rsid w:val="009945A4"/>
  </w:style>
  <w:style w:type="character" w:customStyle="1" w:styleId="ft0p5">
    <w:name w:val="ft0p5"/>
    <w:basedOn w:val="a0"/>
    <w:rsid w:val="009945A4"/>
  </w:style>
  <w:style w:type="table" w:customStyle="1" w:styleId="1">
    <w:name w:val="Світлий список1"/>
    <w:basedOn w:val="a1"/>
    <w:uiPriority w:val="61"/>
    <w:rsid w:val="009945A4"/>
    <w:pPr>
      <w:ind w:firstLine="0"/>
      <w:jc w:val="left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945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945A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9945A4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aa">
    <w:name w:val="footnote text"/>
    <w:basedOn w:val="a"/>
    <w:link w:val="ab"/>
    <w:uiPriority w:val="99"/>
    <w:unhideWhenUsed/>
    <w:rsid w:val="009945A4"/>
    <w:pPr>
      <w:spacing w:line="240" w:lineRule="auto"/>
    </w:pPr>
    <w:rPr>
      <w:rFonts w:eastAsiaTheme="minorEastAsia"/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rsid w:val="009945A4"/>
    <w:rPr>
      <w:rFonts w:eastAsiaTheme="minorEastAsia"/>
      <w:sz w:val="20"/>
      <w:szCs w:val="20"/>
    </w:rPr>
  </w:style>
  <w:style w:type="character" w:styleId="ac">
    <w:name w:val="Subtle Emphasis"/>
    <w:basedOn w:val="a0"/>
    <w:uiPriority w:val="19"/>
    <w:qFormat/>
    <w:rsid w:val="009945A4"/>
    <w:rPr>
      <w:rFonts w:eastAsiaTheme="minorEastAsia" w:cstheme="minorBidi"/>
      <w:bCs w:val="0"/>
      <w:i/>
      <w:iCs/>
      <w:color w:val="808080" w:themeColor="text1" w:themeTint="7F"/>
      <w:szCs w:val="22"/>
      <w:lang w:val="uk-UA"/>
    </w:rPr>
  </w:style>
  <w:style w:type="table" w:customStyle="1" w:styleId="11">
    <w:name w:val="Світла заливка — акцент 11"/>
    <w:basedOn w:val="a1"/>
    <w:uiPriority w:val="60"/>
    <w:rsid w:val="009945A4"/>
    <w:pPr>
      <w:ind w:firstLine="0"/>
      <w:jc w:val="left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ongtext">
    <w:name w:val="long_text"/>
    <w:basedOn w:val="a0"/>
    <w:rsid w:val="0099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er.gov.ua/wp-content/uploads/2011/04/emirat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5102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2011-10-12T06:43:00Z</dcterms:created>
  <dcterms:modified xsi:type="dcterms:W3CDTF">2011-10-12T08:22:00Z</dcterms:modified>
</cp:coreProperties>
</file>