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AB" w:rsidRPr="00880E0E" w:rsidRDefault="006E3BAB" w:rsidP="006E3BAB">
      <w:pPr>
        <w:rPr>
          <w:rFonts w:ascii="Times New Roman" w:hAnsi="Times New Roman"/>
          <w:sz w:val="28"/>
        </w:rPr>
      </w:pPr>
      <w:r w:rsidRPr="00880E0E">
        <w:rPr>
          <w:rFonts w:ascii="Times New Roman" w:hAnsi="Times New Roman"/>
          <w:sz w:val="28"/>
        </w:rPr>
        <w:t>УДК</w:t>
      </w:r>
      <w:r w:rsidRPr="00C303DF">
        <w:rPr>
          <w:rFonts w:ascii="Times New Roman" w:hAnsi="Times New Roman"/>
          <w:sz w:val="28"/>
          <w:lang w:val="ru-RU"/>
        </w:rPr>
        <w:t xml:space="preserve"> 330</w:t>
      </w:r>
      <w:r>
        <w:rPr>
          <w:rFonts w:ascii="Times New Roman" w:hAnsi="Times New Roman"/>
          <w:sz w:val="28"/>
        </w:rPr>
        <w:t>.</w:t>
      </w:r>
      <w:r w:rsidRPr="00C303DF">
        <w:rPr>
          <w:rFonts w:ascii="Times New Roman" w:hAnsi="Times New Roman"/>
          <w:sz w:val="28"/>
          <w:lang w:val="ru-RU"/>
        </w:rPr>
        <w:t>101</w:t>
      </w:r>
      <w:r>
        <w:rPr>
          <w:rFonts w:ascii="Times New Roman" w:hAnsi="Times New Roman"/>
          <w:sz w:val="28"/>
        </w:rPr>
        <w:t>.541</w:t>
      </w:r>
    </w:p>
    <w:p w:rsidR="006E3BAB" w:rsidRPr="006641F3" w:rsidRDefault="006E3BAB" w:rsidP="006E3BAB">
      <w:pPr>
        <w:jc w:val="center"/>
        <w:rPr>
          <w:rFonts w:ascii="Times New Roman" w:hAnsi="Times New Roman"/>
          <w:i/>
          <w:sz w:val="28"/>
        </w:rPr>
      </w:pPr>
      <w:r w:rsidRPr="006641F3">
        <w:rPr>
          <w:rFonts w:ascii="Times New Roman" w:hAnsi="Times New Roman"/>
          <w:i/>
          <w:sz w:val="28"/>
        </w:rPr>
        <w:t>А</w:t>
      </w:r>
      <w:r w:rsidR="00684C61">
        <w:rPr>
          <w:rFonts w:ascii="Times New Roman" w:hAnsi="Times New Roman"/>
          <w:i/>
          <w:sz w:val="28"/>
        </w:rPr>
        <w:t>.</w:t>
      </w:r>
      <w:r w:rsidRPr="006641F3">
        <w:rPr>
          <w:rFonts w:ascii="Times New Roman" w:hAnsi="Times New Roman"/>
          <w:i/>
          <w:sz w:val="28"/>
        </w:rPr>
        <w:t>П. Шот, І.</w:t>
      </w:r>
      <w:r>
        <w:rPr>
          <w:rFonts w:ascii="Times New Roman" w:hAnsi="Times New Roman"/>
          <w:i/>
          <w:sz w:val="28"/>
        </w:rPr>
        <w:t xml:space="preserve"> </w:t>
      </w:r>
      <w:r w:rsidRPr="006641F3">
        <w:rPr>
          <w:rFonts w:ascii="Times New Roman" w:hAnsi="Times New Roman"/>
          <w:i/>
          <w:sz w:val="28"/>
        </w:rPr>
        <w:t xml:space="preserve">Петецький </w:t>
      </w:r>
    </w:p>
    <w:p w:rsidR="006E3BAB" w:rsidRDefault="006E3BAB" w:rsidP="006E3BAB">
      <w:pPr>
        <w:jc w:val="center"/>
        <w:rPr>
          <w:rFonts w:ascii="Times New Roman" w:hAnsi="Times New Roman"/>
          <w:b/>
          <w:sz w:val="28"/>
        </w:rPr>
      </w:pPr>
      <w:r w:rsidRPr="00C303DF">
        <w:rPr>
          <w:rFonts w:ascii="Times New Roman" w:hAnsi="Times New Roman"/>
          <w:b/>
          <w:sz w:val="28"/>
        </w:rPr>
        <w:t>П</w:t>
      </w:r>
      <w:r w:rsidR="00EA6B7B">
        <w:rPr>
          <w:rFonts w:ascii="Times New Roman" w:hAnsi="Times New Roman"/>
          <w:b/>
          <w:sz w:val="28"/>
        </w:rPr>
        <w:t>ЕРЕДУМО</w:t>
      </w:r>
      <w:r>
        <w:rPr>
          <w:rFonts w:ascii="Times New Roman" w:hAnsi="Times New Roman"/>
          <w:b/>
          <w:sz w:val="28"/>
        </w:rPr>
        <w:t>ВИ</w:t>
      </w:r>
      <w:r w:rsidRPr="00C303DF">
        <w:rPr>
          <w:rFonts w:ascii="Times New Roman" w:hAnsi="Times New Roman"/>
          <w:b/>
          <w:sz w:val="28"/>
        </w:rPr>
        <w:t xml:space="preserve"> </w:t>
      </w:r>
      <w:r>
        <w:rPr>
          <w:rFonts w:ascii="Times New Roman" w:hAnsi="Times New Roman"/>
          <w:b/>
          <w:sz w:val="28"/>
        </w:rPr>
        <w:t>СТАБІЛІЗАЦІЇ</w:t>
      </w:r>
      <w:r w:rsidRPr="00A5692A">
        <w:rPr>
          <w:rFonts w:ascii="Times New Roman" w:hAnsi="Times New Roman"/>
          <w:b/>
          <w:sz w:val="28"/>
        </w:rPr>
        <w:t xml:space="preserve"> </w:t>
      </w:r>
      <w:r>
        <w:rPr>
          <w:rFonts w:ascii="Times New Roman" w:hAnsi="Times New Roman"/>
          <w:b/>
          <w:sz w:val="28"/>
        </w:rPr>
        <w:t>НАЦІОНАЛЬНОЇ ЕКОНОМІКИ І МАКРОЕКОНОМІЧНІ ПРІОРИТЕТИ</w:t>
      </w:r>
    </w:p>
    <w:p w:rsidR="006E3BAB" w:rsidRDefault="006E3BAB" w:rsidP="006E3BAB">
      <w:pPr>
        <w:ind w:firstLine="708"/>
        <w:jc w:val="both"/>
        <w:rPr>
          <w:rFonts w:ascii="Times New Roman" w:hAnsi="Times New Roman"/>
          <w:i/>
          <w:sz w:val="28"/>
        </w:rPr>
      </w:pPr>
      <w:r w:rsidRPr="006641F3">
        <w:rPr>
          <w:rFonts w:ascii="Times New Roman" w:hAnsi="Times New Roman"/>
          <w:i/>
          <w:sz w:val="28"/>
        </w:rPr>
        <w:t>Проведено макроекономічний аналіз</w:t>
      </w:r>
      <w:r>
        <w:rPr>
          <w:rFonts w:ascii="Times New Roman" w:hAnsi="Times New Roman"/>
          <w:i/>
          <w:sz w:val="28"/>
        </w:rPr>
        <w:t xml:space="preserve"> основних показників розвитку національної економіки</w:t>
      </w:r>
      <w:r w:rsidRPr="006641F3">
        <w:rPr>
          <w:rFonts w:ascii="Times New Roman" w:hAnsi="Times New Roman"/>
          <w:i/>
          <w:sz w:val="28"/>
        </w:rPr>
        <w:t xml:space="preserve">, дано </w:t>
      </w:r>
      <w:r>
        <w:rPr>
          <w:rFonts w:ascii="Times New Roman" w:hAnsi="Times New Roman"/>
          <w:i/>
          <w:sz w:val="28"/>
        </w:rPr>
        <w:t xml:space="preserve">їм </w:t>
      </w:r>
      <w:r w:rsidR="00EA6B7B">
        <w:rPr>
          <w:rFonts w:ascii="Times New Roman" w:hAnsi="Times New Roman"/>
          <w:i/>
          <w:sz w:val="28"/>
        </w:rPr>
        <w:t>оцінку, визначено п</w:t>
      </w:r>
      <w:r w:rsidR="00ED2B49">
        <w:rPr>
          <w:rFonts w:ascii="Times New Roman" w:hAnsi="Times New Roman"/>
          <w:i/>
          <w:sz w:val="28"/>
        </w:rPr>
        <w:t>ерспективи</w:t>
      </w:r>
      <w:r w:rsidRPr="006641F3">
        <w:rPr>
          <w:rFonts w:ascii="Times New Roman" w:hAnsi="Times New Roman"/>
          <w:i/>
          <w:sz w:val="28"/>
        </w:rPr>
        <w:t xml:space="preserve"> та пріоритети розвитку </w:t>
      </w:r>
      <w:r>
        <w:rPr>
          <w:rFonts w:ascii="Times New Roman" w:hAnsi="Times New Roman"/>
          <w:i/>
          <w:sz w:val="28"/>
        </w:rPr>
        <w:t>вітчизня</w:t>
      </w:r>
      <w:r w:rsidRPr="006641F3">
        <w:rPr>
          <w:rFonts w:ascii="Times New Roman" w:hAnsi="Times New Roman"/>
          <w:i/>
          <w:sz w:val="28"/>
        </w:rPr>
        <w:t>ної економки</w:t>
      </w:r>
      <w:r>
        <w:rPr>
          <w:rFonts w:ascii="Times New Roman" w:hAnsi="Times New Roman"/>
          <w:i/>
          <w:sz w:val="28"/>
        </w:rPr>
        <w:t xml:space="preserve"> в умовах виходу з кризи</w:t>
      </w:r>
      <w:r w:rsidRPr="006641F3">
        <w:rPr>
          <w:rFonts w:ascii="Times New Roman" w:hAnsi="Times New Roman"/>
          <w:i/>
          <w:sz w:val="28"/>
        </w:rPr>
        <w:t>.</w:t>
      </w:r>
    </w:p>
    <w:p w:rsidR="006E3BAB" w:rsidRDefault="006E3BAB" w:rsidP="006E3BAB">
      <w:pPr>
        <w:ind w:firstLine="708"/>
        <w:jc w:val="both"/>
        <w:rPr>
          <w:rFonts w:ascii="Times New Roman" w:hAnsi="Times New Roman"/>
          <w:b/>
          <w:sz w:val="28"/>
        </w:rPr>
      </w:pPr>
      <w:r>
        <w:rPr>
          <w:rFonts w:ascii="Times New Roman" w:hAnsi="Times New Roman"/>
          <w:b/>
          <w:sz w:val="28"/>
        </w:rPr>
        <w:t xml:space="preserve">Ключові слова: </w:t>
      </w:r>
      <w:r w:rsidRPr="006641F3">
        <w:rPr>
          <w:rFonts w:ascii="Times New Roman" w:hAnsi="Times New Roman"/>
          <w:sz w:val="28"/>
        </w:rPr>
        <w:t>національна економіка</w:t>
      </w:r>
      <w:r>
        <w:rPr>
          <w:rFonts w:ascii="Times New Roman" w:hAnsi="Times New Roman"/>
          <w:sz w:val="28"/>
        </w:rPr>
        <w:t>, економічна криза,</w:t>
      </w:r>
      <w:r w:rsidR="00684C61">
        <w:rPr>
          <w:rFonts w:ascii="Times New Roman" w:hAnsi="Times New Roman"/>
          <w:sz w:val="28"/>
        </w:rPr>
        <w:t xml:space="preserve"> </w:t>
      </w:r>
      <w:r>
        <w:rPr>
          <w:rFonts w:ascii="Times New Roman" w:hAnsi="Times New Roman"/>
          <w:sz w:val="28"/>
        </w:rPr>
        <w:t>фактори стабілізації, пріоритети розвитку.</w:t>
      </w:r>
    </w:p>
    <w:p w:rsidR="006E3BAB" w:rsidRDefault="006E3BAB" w:rsidP="006E3BAB">
      <w:pPr>
        <w:ind w:firstLine="708"/>
        <w:rPr>
          <w:rFonts w:ascii="Times New Roman" w:hAnsi="Times New Roman"/>
          <w:b/>
          <w:sz w:val="28"/>
        </w:rPr>
      </w:pPr>
      <w:r>
        <w:rPr>
          <w:rFonts w:ascii="Times New Roman" w:hAnsi="Times New Roman"/>
          <w:b/>
          <w:sz w:val="28"/>
        </w:rPr>
        <w:t>Постановка проблеми.</w:t>
      </w:r>
    </w:p>
    <w:p w:rsidR="006E3BAB" w:rsidRDefault="006E3BAB" w:rsidP="006E3BAB">
      <w:pPr>
        <w:spacing w:after="0" w:line="360" w:lineRule="auto"/>
        <w:ind w:firstLine="709"/>
        <w:jc w:val="both"/>
        <w:rPr>
          <w:rFonts w:ascii="Times New Roman" w:hAnsi="Times New Roman"/>
          <w:sz w:val="28"/>
          <w:szCs w:val="28"/>
          <w:lang w:eastAsia="uk-UA"/>
        </w:rPr>
      </w:pPr>
      <w:r w:rsidRPr="00EF34EB">
        <w:rPr>
          <w:rFonts w:ascii="Times New Roman" w:hAnsi="Times New Roman"/>
          <w:sz w:val="28"/>
          <w:szCs w:val="28"/>
        </w:rPr>
        <w:t xml:space="preserve">Причиною нестабільності </w:t>
      </w:r>
      <w:r>
        <w:rPr>
          <w:rFonts w:ascii="Times New Roman" w:hAnsi="Times New Roman"/>
          <w:sz w:val="28"/>
          <w:szCs w:val="28"/>
        </w:rPr>
        <w:t xml:space="preserve">розвитку </w:t>
      </w:r>
      <w:r w:rsidRPr="00EF34EB">
        <w:rPr>
          <w:rFonts w:ascii="Times New Roman" w:hAnsi="Times New Roman"/>
          <w:sz w:val="28"/>
          <w:szCs w:val="28"/>
        </w:rPr>
        <w:t xml:space="preserve">національної економіки </w:t>
      </w:r>
      <w:r>
        <w:rPr>
          <w:rFonts w:ascii="Times New Roman" w:hAnsi="Times New Roman"/>
          <w:sz w:val="28"/>
          <w:szCs w:val="28"/>
        </w:rPr>
        <w:t xml:space="preserve">уже понад два роки </w:t>
      </w:r>
      <w:r w:rsidRPr="00EF34EB">
        <w:rPr>
          <w:rFonts w:ascii="Times New Roman" w:hAnsi="Times New Roman"/>
          <w:sz w:val="28"/>
          <w:szCs w:val="28"/>
        </w:rPr>
        <w:t>є е</w:t>
      </w:r>
      <w:r w:rsidRPr="00EF34EB">
        <w:rPr>
          <w:rFonts w:ascii="Times New Roman" w:hAnsi="Times New Roman"/>
          <w:sz w:val="28"/>
          <w:szCs w:val="28"/>
          <w:lang w:eastAsia="uk-UA"/>
        </w:rPr>
        <w:t>коно</w:t>
      </w:r>
      <w:r w:rsidR="00BC7F18">
        <w:rPr>
          <w:rFonts w:ascii="Times New Roman" w:hAnsi="Times New Roman"/>
          <w:sz w:val="28"/>
          <w:szCs w:val="28"/>
          <w:lang w:eastAsia="uk-UA"/>
        </w:rPr>
        <w:t>мічна криза, яка набула систематичного поширення</w:t>
      </w:r>
      <w:r w:rsidRPr="00EF34EB">
        <w:rPr>
          <w:rFonts w:ascii="Times New Roman" w:hAnsi="Times New Roman"/>
          <w:sz w:val="28"/>
          <w:szCs w:val="28"/>
          <w:lang w:eastAsia="uk-UA"/>
        </w:rPr>
        <w:t xml:space="preserve"> в Україні з кінця </w:t>
      </w:r>
      <w:r>
        <w:rPr>
          <w:rFonts w:ascii="Times New Roman" w:hAnsi="Times New Roman"/>
          <w:sz w:val="28"/>
          <w:szCs w:val="28"/>
          <w:lang w:eastAsia="uk-UA"/>
        </w:rPr>
        <w:t xml:space="preserve"> 2008 року й розповсюдилась на всі сфери економіки та соціальну сферу</w:t>
      </w:r>
      <w:r w:rsidRPr="00EF34EB">
        <w:rPr>
          <w:rFonts w:ascii="Times New Roman" w:hAnsi="Times New Roman"/>
          <w:sz w:val="28"/>
          <w:szCs w:val="28"/>
          <w:lang w:eastAsia="uk-UA"/>
        </w:rPr>
        <w:t xml:space="preserve">, </w:t>
      </w:r>
      <w:r>
        <w:rPr>
          <w:rFonts w:ascii="Times New Roman" w:hAnsi="Times New Roman"/>
          <w:sz w:val="28"/>
          <w:szCs w:val="28"/>
          <w:lang w:eastAsia="uk-UA"/>
        </w:rPr>
        <w:t xml:space="preserve">стрімко </w:t>
      </w:r>
      <w:r w:rsidRPr="00EF34EB">
        <w:rPr>
          <w:rFonts w:ascii="Times New Roman" w:hAnsi="Times New Roman"/>
          <w:sz w:val="28"/>
          <w:szCs w:val="28"/>
          <w:lang w:eastAsia="uk-UA"/>
        </w:rPr>
        <w:t xml:space="preserve"> погіршуючи </w:t>
      </w:r>
      <w:r>
        <w:rPr>
          <w:rFonts w:ascii="Times New Roman" w:hAnsi="Times New Roman"/>
          <w:sz w:val="28"/>
          <w:szCs w:val="28"/>
          <w:lang w:eastAsia="uk-UA"/>
        </w:rPr>
        <w:t>фінансовий стан</w:t>
      </w:r>
      <w:r w:rsidRPr="00EF34EB">
        <w:rPr>
          <w:rFonts w:ascii="Times New Roman" w:hAnsi="Times New Roman"/>
          <w:sz w:val="28"/>
          <w:szCs w:val="28"/>
          <w:lang w:eastAsia="uk-UA"/>
        </w:rPr>
        <w:t xml:space="preserve"> суб’є</w:t>
      </w:r>
      <w:r>
        <w:rPr>
          <w:rFonts w:ascii="Times New Roman" w:hAnsi="Times New Roman"/>
          <w:sz w:val="28"/>
          <w:szCs w:val="28"/>
          <w:lang w:eastAsia="uk-UA"/>
        </w:rPr>
        <w:t>ктів ринку й населення країни</w:t>
      </w:r>
      <w:r w:rsidRPr="00EF34EB">
        <w:rPr>
          <w:rFonts w:ascii="Times New Roman" w:hAnsi="Times New Roman"/>
          <w:sz w:val="28"/>
          <w:szCs w:val="28"/>
          <w:lang w:eastAsia="uk-UA"/>
        </w:rPr>
        <w:t>.</w:t>
      </w:r>
      <w:r>
        <w:rPr>
          <w:rFonts w:ascii="Times New Roman" w:hAnsi="Times New Roman"/>
          <w:sz w:val="28"/>
          <w:szCs w:val="28"/>
          <w:lang w:eastAsia="uk-UA"/>
        </w:rPr>
        <w:t xml:space="preserve"> Україна, як і більшість країн світу, виявилась неготовою дієво протистояти викликам кризи і в короткий строк ліквідувати її наслідки.</w:t>
      </w:r>
    </w:p>
    <w:p w:rsidR="006E3BAB" w:rsidRDefault="006E3BAB" w:rsidP="006E3BAB">
      <w:pPr>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Непослідовність реалізації антикризових заходів, низька дієздатність влади призвели до того, що і на сьогоднішній день залишаються не реалізованими чимало стратегічних антикризових заходів. Для їх реалізації, звісно,  в першу чергу необхідні фінансові ресурси</w:t>
      </w:r>
      <w:r w:rsidR="00BC7F18">
        <w:rPr>
          <w:rFonts w:ascii="Times New Roman" w:hAnsi="Times New Roman"/>
          <w:sz w:val="28"/>
          <w:szCs w:val="28"/>
          <w:lang w:eastAsia="uk-UA"/>
        </w:rPr>
        <w:t xml:space="preserve"> передусім внутрішнього походження. Це вимагає відповідних реформ, скерованих на оптимізацію податкових надходжень, обмеження бюджетних видатків, стимулювання внутрішнього попиту (інвестиційного та споживчого), урівноваження торговельного балансу</w:t>
      </w:r>
      <w:r>
        <w:rPr>
          <w:rFonts w:ascii="Times New Roman" w:hAnsi="Times New Roman"/>
          <w:sz w:val="28"/>
          <w:szCs w:val="28"/>
          <w:lang w:eastAsia="uk-UA"/>
        </w:rPr>
        <w:t>.</w:t>
      </w:r>
      <w:r w:rsidR="00BC7F18">
        <w:rPr>
          <w:rFonts w:ascii="Times New Roman" w:hAnsi="Times New Roman"/>
          <w:sz w:val="28"/>
          <w:szCs w:val="28"/>
          <w:lang w:eastAsia="uk-UA"/>
        </w:rPr>
        <w:t xml:space="preserve"> Досягти цього можна лише за умови визначення обмеженого числа чітко встановлених економічних пріоритетів.</w:t>
      </w:r>
      <w:r>
        <w:rPr>
          <w:rFonts w:ascii="Times New Roman" w:hAnsi="Times New Roman"/>
          <w:sz w:val="28"/>
          <w:szCs w:val="28"/>
          <w:lang w:eastAsia="uk-UA"/>
        </w:rPr>
        <w:t xml:space="preserve"> </w:t>
      </w:r>
    </w:p>
    <w:p w:rsidR="006E3BAB" w:rsidRDefault="006E3BAB" w:rsidP="006E3BAB">
      <w:pPr>
        <w:pStyle w:val="HTML"/>
        <w:spacing w:line="360" w:lineRule="auto"/>
        <w:ind w:firstLine="709"/>
        <w:jc w:val="both"/>
        <w:rPr>
          <w:rFonts w:ascii="Times New Roman" w:hAnsi="Times New Roman" w:cs="Times New Roman"/>
          <w:sz w:val="28"/>
          <w:szCs w:val="28"/>
        </w:rPr>
      </w:pPr>
      <w:r w:rsidRPr="006E2314">
        <w:rPr>
          <w:rFonts w:ascii="Times New Roman" w:hAnsi="Times New Roman" w:cs="Times New Roman"/>
          <w:sz w:val="28"/>
          <w:szCs w:val="28"/>
        </w:rPr>
        <w:t xml:space="preserve">Основні макроекономічні пріоритети розвитку національної економіки визначені </w:t>
      </w:r>
      <w:r w:rsidR="00217028">
        <w:rPr>
          <w:rFonts w:ascii="Times New Roman" w:hAnsi="Times New Roman" w:cs="Times New Roman"/>
          <w:sz w:val="28"/>
          <w:szCs w:val="28"/>
        </w:rPr>
        <w:t xml:space="preserve">кількома документами, зокрема </w:t>
      </w:r>
      <w:r>
        <w:rPr>
          <w:rFonts w:ascii="Times New Roman" w:hAnsi="Times New Roman" w:cs="Times New Roman"/>
          <w:sz w:val="28"/>
          <w:szCs w:val="28"/>
        </w:rPr>
        <w:t>Державною програмою</w:t>
      </w:r>
      <w:r w:rsidRPr="006E2314">
        <w:rPr>
          <w:rFonts w:ascii="Times New Roman" w:hAnsi="Times New Roman" w:cs="Times New Roman"/>
          <w:sz w:val="28"/>
          <w:szCs w:val="28"/>
        </w:rPr>
        <w:t xml:space="preserve"> економічного і соціального розвитку України на 2010</w:t>
      </w:r>
      <w:r>
        <w:rPr>
          <w:rFonts w:ascii="Times New Roman" w:hAnsi="Times New Roman" w:cs="Times New Roman"/>
          <w:sz w:val="28"/>
          <w:szCs w:val="28"/>
        </w:rPr>
        <w:t xml:space="preserve"> </w:t>
      </w:r>
      <w:r w:rsidRPr="006E2314">
        <w:rPr>
          <w:rFonts w:ascii="Times New Roman" w:hAnsi="Times New Roman" w:cs="Times New Roman"/>
          <w:sz w:val="28"/>
          <w:szCs w:val="28"/>
        </w:rPr>
        <w:t xml:space="preserve">рік </w:t>
      </w:r>
      <w:r w:rsidRPr="006E2314">
        <w:rPr>
          <w:rFonts w:ascii="Times New Roman" w:hAnsi="Times New Roman" w:cs="Times New Roman"/>
          <w:bCs/>
          <w:sz w:val="28"/>
          <w:szCs w:val="28"/>
        </w:rPr>
        <w:t>(Антикризова програма)</w:t>
      </w:r>
      <w:r>
        <w:rPr>
          <w:rFonts w:ascii="Times New Roman" w:hAnsi="Times New Roman" w:cs="Times New Roman"/>
          <w:bCs/>
          <w:sz w:val="28"/>
          <w:szCs w:val="28"/>
        </w:rPr>
        <w:t xml:space="preserve"> [</w:t>
      </w:r>
      <w:r w:rsidRPr="003E5BAB">
        <w:rPr>
          <w:rFonts w:ascii="Times New Roman" w:hAnsi="Times New Roman" w:cs="Times New Roman"/>
          <w:bCs/>
          <w:sz w:val="28"/>
          <w:szCs w:val="28"/>
        </w:rPr>
        <w:t>5</w:t>
      </w:r>
      <w:r>
        <w:rPr>
          <w:rFonts w:ascii="Times New Roman" w:hAnsi="Times New Roman" w:cs="Times New Roman"/>
          <w:bCs/>
          <w:sz w:val="28"/>
          <w:szCs w:val="28"/>
        </w:rPr>
        <w:t xml:space="preserve">], </w:t>
      </w:r>
      <w:r w:rsidRPr="00C90F80">
        <w:rPr>
          <w:rFonts w:ascii="Times New Roman" w:hAnsi="Times New Roman" w:cs="Times New Roman"/>
          <w:sz w:val="28"/>
          <w:szCs w:val="28"/>
        </w:rPr>
        <w:t>Стратегією інноваційного розвитку України на 2010–2020 рр. в умовах глобалізаційних викликів</w:t>
      </w:r>
      <w:r>
        <w:rPr>
          <w:rFonts w:ascii="Times New Roman" w:hAnsi="Times New Roman" w:cs="Times New Roman"/>
          <w:sz w:val="28"/>
          <w:szCs w:val="28"/>
        </w:rPr>
        <w:t>.</w:t>
      </w:r>
    </w:p>
    <w:p w:rsidR="006E3BAB" w:rsidRDefault="006E3BAB" w:rsidP="006E3BAB">
      <w:pPr>
        <w:pStyle w:val="a5"/>
        <w:spacing w:before="0" w:beforeAutospacing="0" w:after="0" w:afterAutospacing="0" w:line="360" w:lineRule="auto"/>
        <w:ind w:firstLine="709"/>
        <w:jc w:val="both"/>
        <w:rPr>
          <w:sz w:val="28"/>
          <w:szCs w:val="28"/>
        </w:rPr>
      </w:pPr>
      <w:r w:rsidRPr="00A128C1">
        <w:rPr>
          <w:sz w:val="28"/>
          <w:szCs w:val="28"/>
        </w:rPr>
        <w:lastRenderedPageBreak/>
        <w:t>Відповідно до зазначених програм пріоритетами подальшого розвитку вітчизняної економіки має стати відновлення економічного зростання з закладанням інвестиційного фундаменту подальшого стійкого розвитку, що стане базовою передумовою для розв'язання гострих соціальних проблем та загального підвищення добробуту населення.</w:t>
      </w:r>
    </w:p>
    <w:p w:rsidR="006E3BAB" w:rsidRDefault="006E3BAB" w:rsidP="006E3BAB">
      <w:pPr>
        <w:pStyle w:val="a5"/>
        <w:spacing w:before="0" w:beforeAutospacing="0" w:after="0" w:afterAutospacing="0" w:line="360" w:lineRule="auto"/>
        <w:ind w:firstLine="709"/>
        <w:jc w:val="both"/>
        <w:rPr>
          <w:sz w:val="28"/>
          <w:szCs w:val="28"/>
        </w:rPr>
      </w:pPr>
      <w:bookmarkStart w:id="0" w:name="170"/>
      <w:bookmarkStart w:id="1" w:name="171"/>
      <w:bookmarkEnd w:id="0"/>
      <w:bookmarkEnd w:id="1"/>
      <w:r w:rsidRPr="00A128C1">
        <w:rPr>
          <w:sz w:val="28"/>
          <w:szCs w:val="28"/>
        </w:rPr>
        <w:t xml:space="preserve">Підґрунтям для досягнення поставленої мети </w:t>
      </w:r>
      <w:r>
        <w:rPr>
          <w:sz w:val="28"/>
          <w:szCs w:val="28"/>
        </w:rPr>
        <w:t>повинно стати</w:t>
      </w:r>
      <w:r w:rsidRPr="00A128C1">
        <w:rPr>
          <w:sz w:val="28"/>
          <w:szCs w:val="28"/>
        </w:rPr>
        <w:t>:</w:t>
      </w:r>
      <w:r>
        <w:rPr>
          <w:sz w:val="28"/>
          <w:szCs w:val="28"/>
        </w:rPr>
        <w:t xml:space="preserve"> </w:t>
      </w:r>
      <w:bookmarkStart w:id="2" w:name="172"/>
      <w:bookmarkEnd w:id="2"/>
      <w:r w:rsidRPr="00A128C1">
        <w:rPr>
          <w:sz w:val="28"/>
          <w:szCs w:val="28"/>
        </w:rPr>
        <w:t>досягнення макроекономічної стабільності, створення сприятливих умов для розвитку підприємництва;</w:t>
      </w:r>
      <w:bookmarkStart w:id="3" w:name="173"/>
      <w:bookmarkStart w:id="4" w:name="174"/>
      <w:bookmarkStart w:id="5" w:name="175"/>
      <w:bookmarkStart w:id="6" w:name="176"/>
      <w:bookmarkEnd w:id="3"/>
      <w:bookmarkEnd w:id="4"/>
      <w:bookmarkEnd w:id="5"/>
      <w:bookmarkEnd w:id="6"/>
      <w:r>
        <w:rPr>
          <w:sz w:val="28"/>
          <w:szCs w:val="28"/>
        </w:rPr>
        <w:t xml:space="preserve"> </w:t>
      </w:r>
      <w:r w:rsidRPr="00A128C1">
        <w:rPr>
          <w:sz w:val="28"/>
          <w:szCs w:val="28"/>
        </w:rPr>
        <w:t>реалізація внутрішніх реформ, визначених курсом держави на європейську і євроатлантичну інтеграцію;</w:t>
      </w:r>
      <w:r>
        <w:rPr>
          <w:sz w:val="28"/>
          <w:szCs w:val="28"/>
        </w:rPr>
        <w:t xml:space="preserve"> </w:t>
      </w:r>
      <w:bookmarkStart w:id="7" w:name="177"/>
      <w:bookmarkEnd w:id="7"/>
      <w:r w:rsidRPr="00A128C1">
        <w:rPr>
          <w:sz w:val="28"/>
          <w:szCs w:val="28"/>
        </w:rPr>
        <w:t>зняття інфраструктурних обмежень;</w:t>
      </w:r>
      <w:r>
        <w:rPr>
          <w:sz w:val="28"/>
          <w:szCs w:val="28"/>
        </w:rPr>
        <w:t xml:space="preserve"> </w:t>
      </w:r>
      <w:bookmarkStart w:id="8" w:name="178"/>
      <w:bookmarkEnd w:id="8"/>
      <w:r w:rsidRPr="00A128C1">
        <w:rPr>
          <w:sz w:val="28"/>
          <w:szCs w:val="28"/>
        </w:rPr>
        <w:t>технологічне оновлення та підвищення конкурентоспроможності вітчизняного виробництва, енергозбереження;</w:t>
      </w:r>
      <w:r>
        <w:rPr>
          <w:sz w:val="28"/>
          <w:szCs w:val="28"/>
        </w:rPr>
        <w:t xml:space="preserve"> </w:t>
      </w:r>
      <w:bookmarkStart w:id="9" w:name="179"/>
      <w:bookmarkEnd w:id="9"/>
      <w:r w:rsidRPr="00A128C1">
        <w:rPr>
          <w:sz w:val="28"/>
          <w:szCs w:val="28"/>
        </w:rPr>
        <w:t>забезпечення енергетичної безпеки;</w:t>
      </w:r>
      <w:r>
        <w:rPr>
          <w:sz w:val="28"/>
          <w:szCs w:val="28"/>
        </w:rPr>
        <w:t xml:space="preserve"> </w:t>
      </w:r>
      <w:bookmarkStart w:id="10" w:name="180"/>
      <w:bookmarkEnd w:id="10"/>
      <w:r w:rsidRPr="00A128C1">
        <w:rPr>
          <w:sz w:val="28"/>
          <w:szCs w:val="28"/>
        </w:rPr>
        <w:t>перехід до високоефективного агропромислового комплексу;</w:t>
      </w:r>
      <w:r>
        <w:rPr>
          <w:sz w:val="28"/>
          <w:szCs w:val="28"/>
        </w:rPr>
        <w:t xml:space="preserve"> </w:t>
      </w:r>
      <w:bookmarkStart w:id="11" w:name="181"/>
      <w:bookmarkEnd w:id="11"/>
      <w:r w:rsidRPr="00A128C1">
        <w:rPr>
          <w:sz w:val="28"/>
          <w:szCs w:val="28"/>
        </w:rPr>
        <w:t>посилення інноваційної складової розвитку шляхом створення сучасної інноваційної системи та підвищення віддачі від науково-дослідної сфери.</w:t>
      </w:r>
      <w:r>
        <w:rPr>
          <w:sz w:val="28"/>
          <w:szCs w:val="28"/>
        </w:rPr>
        <w:t xml:space="preserve"> </w:t>
      </w:r>
    </w:p>
    <w:p w:rsidR="006E3BAB" w:rsidRDefault="006E3BAB" w:rsidP="006E3BAB">
      <w:pPr>
        <w:pStyle w:val="a5"/>
        <w:spacing w:before="0" w:beforeAutospacing="0" w:after="0" w:afterAutospacing="0" w:line="360" w:lineRule="auto"/>
        <w:ind w:firstLine="709"/>
        <w:jc w:val="both"/>
        <w:rPr>
          <w:sz w:val="28"/>
          <w:szCs w:val="28"/>
        </w:rPr>
      </w:pPr>
      <w:r>
        <w:rPr>
          <w:sz w:val="28"/>
          <w:szCs w:val="28"/>
        </w:rPr>
        <w:t xml:space="preserve">Реалізація цієї мети </w:t>
      </w:r>
      <w:r w:rsidR="00217028">
        <w:rPr>
          <w:sz w:val="28"/>
          <w:szCs w:val="28"/>
        </w:rPr>
        <w:t xml:space="preserve">актуалізується в умовах світової </w:t>
      </w:r>
      <w:r>
        <w:rPr>
          <w:sz w:val="28"/>
          <w:szCs w:val="28"/>
        </w:rPr>
        <w:t xml:space="preserve"> економічної кризи</w:t>
      </w:r>
      <w:r w:rsidR="00217028">
        <w:rPr>
          <w:sz w:val="28"/>
          <w:szCs w:val="28"/>
        </w:rPr>
        <w:t>.  Для елімінації чинників</w:t>
      </w:r>
      <w:r>
        <w:rPr>
          <w:sz w:val="28"/>
          <w:szCs w:val="28"/>
        </w:rPr>
        <w:t xml:space="preserve"> економічної нестабільності необхідно </w:t>
      </w:r>
      <w:r w:rsidR="00217028">
        <w:rPr>
          <w:sz w:val="28"/>
          <w:szCs w:val="28"/>
        </w:rPr>
        <w:t>здійснювати причинно-наслідковий аналіз, моніторувати поточну</w:t>
      </w:r>
      <w:r>
        <w:rPr>
          <w:sz w:val="28"/>
          <w:szCs w:val="28"/>
        </w:rPr>
        <w:t xml:space="preserve"> ситуацію та чітко визначити пріоритети розвитку і перспективи стабілізації.</w:t>
      </w:r>
      <w:r w:rsidR="00217028">
        <w:rPr>
          <w:sz w:val="28"/>
          <w:szCs w:val="28"/>
        </w:rPr>
        <w:t xml:space="preserve"> При цьому це треба здійснити на системних засадах із усвідомленням існуючих обмежень на </w:t>
      </w:r>
      <w:r w:rsidR="00FC3C6C">
        <w:rPr>
          <w:sz w:val="28"/>
          <w:szCs w:val="28"/>
        </w:rPr>
        <w:t>фінансове забезпечення стабілізаційних дій.</w:t>
      </w:r>
    </w:p>
    <w:p w:rsidR="006E3BAB" w:rsidRDefault="00FC3C6C" w:rsidP="006E3BAB">
      <w:pPr>
        <w:pStyle w:val="a5"/>
        <w:spacing w:before="0" w:beforeAutospacing="0" w:after="0" w:afterAutospacing="0" w:line="360" w:lineRule="auto"/>
        <w:ind w:firstLine="709"/>
        <w:jc w:val="both"/>
        <w:rPr>
          <w:sz w:val="28"/>
          <w:szCs w:val="28"/>
        </w:rPr>
      </w:pPr>
      <w:r w:rsidRPr="00FC3C6C">
        <w:rPr>
          <w:rFonts w:eastAsiaTheme="minorHAnsi"/>
          <w:b/>
          <w:bCs/>
          <w:sz w:val="28"/>
          <w:szCs w:val="20"/>
        </w:rPr>
        <w:t>Аналіз основних досліджень і публікацій.</w:t>
      </w:r>
      <w:r w:rsidRPr="00FC3C6C">
        <w:rPr>
          <w:sz w:val="40"/>
          <w:szCs w:val="28"/>
        </w:rPr>
        <w:t xml:space="preserve"> </w:t>
      </w:r>
      <w:r w:rsidR="006E3BAB" w:rsidRPr="00E4576F">
        <w:rPr>
          <w:sz w:val="28"/>
          <w:szCs w:val="28"/>
        </w:rPr>
        <w:t>На</w:t>
      </w:r>
      <w:r w:rsidR="006E3BAB">
        <w:rPr>
          <w:sz w:val="28"/>
          <w:szCs w:val="28"/>
        </w:rPr>
        <w:t xml:space="preserve"> </w:t>
      </w:r>
      <w:r>
        <w:rPr>
          <w:sz w:val="28"/>
          <w:szCs w:val="28"/>
        </w:rPr>
        <w:t>сьогодні проблемам дослідження</w:t>
      </w:r>
      <w:r w:rsidR="006E3BAB" w:rsidRPr="00E4576F">
        <w:rPr>
          <w:sz w:val="28"/>
          <w:szCs w:val="28"/>
        </w:rPr>
        <w:t xml:space="preserve"> перспектив розвитку національних економік</w:t>
      </w:r>
      <w:r w:rsidR="006E3BAB">
        <w:rPr>
          <w:sz w:val="28"/>
          <w:szCs w:val="28"/>
        </w:rPr>
        <w:t xml:space="preserve"> </w:t>
      </w:r>
      <w:r w:rsidR="006E3BAB" w:rsidRPr="00E4576F">
        <w:rPr>
          <w:sz w:val="28"/>
          <w:szCs w:val="28"/>
        </w:rPr>
        <w:t>приділяється чимала увага в працях</w:t>
      </w:r>
      <w:r w:rsidR="006E3BAB">
        <w:rPr>
          <w:sz w:val="28"/>
          <w:szCs w:val="28"/>
        </w:rPr>
        <w:t xml:space="preserve"> </w:t>
      </w:r>
      <w:r w:rsidRPr="00E4576F">
        <w:rPr>
          <w:sz w:val="28"/>
          <w:szCs w:val="28"/>
        </w:rPr>
        <w:t>зарубіжн</w:t>
      </w:r>
      <w:r>
        <w:rPr>
          <w:sz w:val="28"/>
          <w:szCs w:val="28"/>
        </w:rPr>
        <w:t>их та вітчизняних</w:t>
      </w:r>
      <w:r w:rsidR="006E3BAB" w:rsidRPr="00E4576F">
        <w:rPr>
          <w:sz w:val="28"/>
          <w:szCs w:val="28"/>
        </w:rPr>
        <w:t xml:space="preserve"> </w:t>
      </w:r>
      <w:r w:rsidR="006E3BAB">
        <w:rPr>
          <w:sz w:val="28"/>
          <w:szCs w:val="28"/>
        </w:rPr>
        <w:t>вчених: В</w:t>
      </w:r>
      <w:r>
        <w:rPr>
          <w:sz w:val="28"/>
          <w:szCs w:val="28"/>
        </w:rPr>
        <w:t>. Велфе, Я. Пшиступа, О. Устенка</w:t>
      </w:r>
      <w:r w:rsidR="006E3BAB">
        <w:rPr>
          <w:sz w:val="28"/>
          <w:szCs w:val="28"/>
        </w:rPr>
        <w:t>, О.І. Амоші, В.М. Гейця, Т.Л. Желюк</w:t>
      </w:r>
      <w:r w:rsidR="006E3BAB" w:rsidRPr="00E4576F">
        <w:rPr>
          <w:sz w:val="28"/>
          <w:szCs w:val="28"/>
        </w:rPr>
        <w:t>, С.А. Єрохіна</w:t>
      </w:r>
      <w:r w:rsidR="006E3BAB">
        <w:rPr>
          <w:sz w:val="28"/>
          <w:szCs w:val="28"/>
        </w:rPr>
        <w:t xml:space="preserve">, А.Новака, </w:t>
      </w:r>
      <w:r w:rsidR="006E3BAB" w:rsidRPr="00E4576F">
        <w:rPr>
          <w:sz w:val="28"/>
          <w:szCs w:val="28"/>
        </w:rPr>
        <w:t>В.П. Семиноженк</w:t>
      </w:r>
      <w:r w:rsidR="006E3BAB">
        <w:rPr>
          <w:sz w:val="28"/>
          <w:szCs w:val="28"/>
        </w:rPr>
        <w:t>а, О.С. Бабанін, Я.В. Белінської</w:t>
      </w:r>
      <w:r w:rsidR="006E3BAB" w:rsidRPr="00E4576F">
        <w:rPr>
          <w:sz w:val="28"/>
          <w:szCs w:val="28"/>
        </w:rPr>
        <w:t xml:space="preserve"> т</w:t>
      </w:r>
      <w:r w:rsidR="006E3BAB">
        <w:rPr>
          <w:sz w:val="28"/>
          <w:szCs w:val="28"/>
        </w:rPr>
        <w:t>а інших науковців. Досліджен</w:t>
      </w:r>
      <w:r w:rsidR="006E3BAB" w:rsidRPr="00E4576F">
        <w:rPr>
          <w:sz w:val="28"/>
          <w:szCs w:val="28"/>
        </w:rPr>
        <w:t xml:space="preserve">ня </w:t>
      </w:r>
      <w:r w:rsidR="006E3BAB">
        <w:rPr>
          <w:sz w:val="28"/>
          <w:szCs w:val="28"/>
        </w:rPr>
        <w:t xml:space="preserve"> присвячені пріоритетам та прогнозам розвитку національних економік різних країн в умовах світової економічної та фінансової кризи, макроекономічному аналізу чинників антикризової політики тощо</w:t>
      </w:r>
      <w:r w:rsidR="006E3BAB" w:rsidRPr="003E5BAB">
        <w:rPr>
          <w:sz w:val="28"/>
          <w:szCs w:val="28"/>
        </w:rPr>
        <w:t>[</w:t>
      </w:r>
      <w:r w:rsidR="006E3BAB">
        <w:rPr>
          <w:sz w:val="28"/>
          <w:szCs w:val="28"/>
        </w:rPr>
        <w:t>4</w:t>
      </w:r>
      <w:r w:rsidR="006E3BAB" w:rsidRPr="003E5BAB">
        <w:rPr>
          <w:sz w:val="28"/>
          <w:szCs w:val="28"/>
        </w:rPr>
        <w:t>,</w:t>
      </w:r>
      <w:r w:rsidR="006E3BAB">
        <w:rPr>
          <w:sz w:val="28"/>
          <w:szCs w:val="28"/>
        </w:rPr>
        <w:t>6,</w:t>
      </w:r>
      <w:r w:rsidR="006E3BAB" w:rsidRPr="003E5BAB">
        <w:rPr>
          <w:sz w:val="28"/>
          <w:szCs w:val="28"/>
        </w:rPr>
        <w:t>8]</w:t>
      </w:r>
      <w:r w:rsidR="006E3BAB">
        <w:rPr>
          <w:sz w:val="28"/>
          <w:szCs w:val="28"/>
        </w:rPr>
        <w:t xml:space="preserve">. </w:t>
      </w:r>
    </w:p>
    <w:p w:rsidR="006E3BAB" w:rsidRDefault="006E3BAB" w:rsidP="00EA6B7B">
      <w:pPr>
        <w:pStyle w:val="a5"/>
        <w:spacing w:before="0" w:beforeAutospacing="0" w:after="0" w:afterAutospacing="0" w:line="360" w:lineRule="auto"/>
        <w:ind w:firstLine="708"/>
        <w:jc w:val="both"/>
        <w:rPr>
          <w:sz w:val="28"/>
          <w:szCs w:val="28"/>
        </w:rPr>
      </w:pPr>
      <w:r>
        <w:rPr>
          <w:sz w:val="28"/>
          <w:szCs w:val="28"/>
        </w:rPr>
        <w:t xml:space="preserve">Разом з тим, на даний час ще передчасно говорити про стабілізацію економіки, оскільки кризові явища ще не подолані. Тому в рамках цієї наукової </w:t>
      </w:r>
      <w:r>
        <w:rPr>
          <w:sz w:val="28"/>
          <w:szCs w:val="28"/>
        </w:rPr>
        <w:lastRenderedPageBreak/>
        <w:t>статті, вважаємо за необхідне провести аналіз основних факторів розвитку вітчизняної економіки, дати їм оцінку, накреслити перспективи стабілізації та пріоритети розвитку національної економіки.</w:t>
      </w:r>
    </w:p>
    <w:p w:rsidR="00FC3C6C" w:rsidRPr="00FC3C6C" w:rsidRDefault="00DA08D3" w:rsidP="00EA6B7B">
      <w:pPr>
        <w:autoSpaceDE w:val="0"/>
        <w:autoSpaceDN w:val="0"/>
        <w:adjustRightInd w:val="0"/>
        <w:spacing w:after="0" w:line="360" w:lineRule="auto"/>
        <w:jc w:val="both"/>
        <w:rPr>
          <w:rFonts w:ascii="Times New Roman" w:hAnsi="Times New Roman"/>
          <w:sz w:val="28"/>
          <w:szCs w:val="28"/>
        </w:rPr>
      </w:pPr>
      <w:r>
        <w:rPr>
          <w:rFonts w:ascii="Times New Roman" w:eastAsiaTheme="minorHAnsi" w:hAnsi="Times New Roman"/>
          <w:b/>
          <w:bCs/>
          <w:sz w:val="28"/>
          <w:szCs w:val="20"/>
        </w:rPr>
        <w:tab/>
      </w:r>
      <w:r w:rsidR="00FC3C6C" w:rsidRPr="00FC3C6C">
        <w:rPr>
          <w:rFonts w:ascii="Times New Roman" w:eastAsiaTheme="minorHAnsi" w:hAnsi="Times New Roman"/>
          <w:b/>
          <w:bCs/>
          <w:sz w:val="28"/>
          <w:szCs w:val="20"/>
        </w:rPr>
        <w:t>Невирішені раніше частини загальної проблеми</w:t>
      </w:r>
      <w:r w:rsidR="00FC3C6C" w:rsidRPr="00FC3C6C">
        <w:rPr>
          <w:rFonts w:ascii="Times New Roman" w:eastAsiaTheme="minorHAnsi" w:hAnsi="Times New Roman"/>
          <w:b/>
          <w:bCs/>
          <w:sz w:val="28"/>
          <w:szCs w:val="28"/>
        </w:rPr>
        <w:t xml:space="preserve">. </w:t>
      </w:r>
      <w:r w:rsidR="00FC3C6C" w:rsidRPr="00FC3C6C">
        <w:rPr>
          <w:rFonts w:ascii="Times New Roman" w:eastAsiaTheme="minorHAnsi" w:hAnsi="Times New Roman"/>
          <w:sz w:val="28"/>
          <w:szCs w:val="28"/>
        </w:rPr>
        <w:t>На сучасному етапі багатьма науковцями обговорюється питання</w:t>
      </w:r>
      <w:r>
        <w:rPr>
          <w:rFonts w:ascii="Times New Roman" w:eastAsiaTheme="minorHAnsi" w:hAnsi="Times New Roman"/>
          <w:sz w:val="28"/>
          <w:szCs w:val="28"/>
        </w:rPr>
        <w:t xml:space="preserve"> причин</w:t>
      </w:r>
      <w:r w:rsidR="00EA6B7B">
        <w:rPr>
          <w:rFonts w:ascii="Times New Roman" w:eastAsiaTheme="minorHAnsi" w:hAnsi="Times New Roman"/>
          <w:sz w:val="28"/>
          <w:szCs w:val="28"/>
        </w:rPr>
        <w:t xml:space="preserve"> виникнення світової </w:t>
      </w:r>
      <w:r w:rsidRPr="00D330BA">
        <w:rPr>
          <w:rFonts w:ascii="Times New Roman" w:eastAsiaTheme="minorHAnsi" w:hAnsi="Times New Roman"/>
          <w:sz w:val="28"/>
          <w:szCs w:val="28"/>
        </w:rPr>
        <w:t xml:space="preserve">економічної </w:t>
      </w:r>
      <w:r w:rsidR="00EA6B7B" w:rsidRPr="00D330BA">
        <w:rPr>
          <w:rFonts w:ascii="Times New Roman" w:eastAsiaTheme="minorHAnsi" w:hAnsi="Times New Roman"/>
          <w:sz w:val="28"/>
          <w:szCs w:val="28"/>
        </w:rPr>
        <w:t xml:space="preserve">кризи, </w:t>
      </w:r>
      <w:r w:rsidR="00BF0637" w:rsidRPr="00D330BA">
        <w:rPr>
          <w:rFonts w:ascii="Times New Roman" w:eastAsiaTheme="minorHAnsi" w:hAnsi="Times New Roman"/>
          <w:sz w:val="28"/>
          <w:szCs w:val="28"/>
        </w:rPr>
        <w:t xml:space="preserve">її вплив на економіку України, </w:t>
      </w:r>
      <w:r w:rsidR="00EA6B7B" w:rsidRPr="00D330BA">
        <w:rPr>
          <w:rFonts w:ascii="Times New Roman" w:eastAsiaTheme="minorHAnsi" w:hAnsi="Times New Roman"/>
          <w:sz w:val="28"/>
          <w:szCs w:val="28"/>
        </w:rPr>
        <w:t xml:space="preserve">проте недостатньо уваги приділено дослідженню </w:t>
      </w:r>
      <w:r w:rsidR="00E663A9">
        <w:rPr>
          <w:rFonts w:ascii="Times New Roman" w:eastAsiaTheme="minorHAnsi" w:hAnsi="Times New Roman"/>
          <w:sz w:val="28"/>
          <w:szCs w:val="28"/>
        </w:rPr>
        <w:t>передумов</w:t>
      </w:r>
      <w:r w:rsidR="00BF0637" w:rsidRPr="00D330BA">
        <w:rPr>
          <w:rFonts w:ascii="Times New Roman" w:eastAsiaTheme="minorHAnsi" w:hAnsi="Times New Roman"/>
          <w:sz w:val="28"/>
          <w:szCs w:val="28"/>
        </w:rPr>
        <w:t xml:space="preserve"> стабілізації та пріоритетам розвитку  вітчизняної економіки</w:t>
      </w:r>
      <w:r w:rsidR="00D330BA" w:rsidRPr="00D330BA">
        <w:rPr>
          <w:rFonts w:ascii="Times New Roman" w:eastAsiaTheme="minorHAnsi" w:hAnsi="Times New Roman"/>
          <w:sz w:val="28"/>
          <w:szCs w:val="28"/>
        </w:rPr>
        <w:t xml:space="preserve"> в умовах виходу з кризи.</w:t>
      </w:r>
      <w:r w:rsidR="00BF0637">
        <w:rPr>
          <w:rFonts w:ascii="NewtonC" w:eastAsiaTheme="minorHAnsi" w:hAnsi="NewtonC" w:cs="NewtonC"/>
          <w:sz w:val="20"/>
          <w:szCs w:val="20"/>
        </w:rPr>
        <w:t xml:space="preserve"> </w:t>
      </w:r>
    </w:p>
    <w:p w:rsidR="00FC3C6C" w:rsidRDefault="00FC3C6C" w:rsidP="00EA6B7B">
      <w:pPr>
        <w:pStyle w:val="a5"/>
        <w:spacing w:before="0" w:beforeAutospacing="0" w:after="0" w:afterAutospacing="0" w:line="360" w:lineRule="auto"/>
        <w:ind w:firstLine="708"/>
        <w:jc w:val="both"/>
        <w:rPr>
          <w:sz w:val="28"/>
          <w:szCs w:val="28"/>
        </w:rPr>
      </w:pPr>
      <w:r w:rsidRPr="00FC3C6C">
        <w:rPr>
          <w:b/>
          <w:sz w:val="28"/>
          <w:szCs w:val="28"/>
        </w:rPr>
        <w:t>Метою дослідження</w:t>
      </w:r>
      <w:r>
        <w:rPr>
          <w:sz w:val="28"/>
          <w:szCs w:val="28"/>
        </w:rPr>
        <w:t xml:space="preserve"> є: ідентифікувати перспективи стабілізації економіки України та окреслити макроекономічні пріоритети.</w:t>
      </w:r>
    </w:p>
    <w:p w:rsidR="006E3BAB" w:rsidRPr="00770B83" w:rsidRDefault="006E3BAB" w:rsidP="006E3BAB">
      <w:pPr>
        <w:pStyle w:val="a5"/>
        <w:spacing w:before="0" w:beforeAutospacing="0" w:after="0" w:afterAutospacing="0" w:line="360" w:lineRule="auto"/>
        <w:ind w:firstLine="708"/>
        <w:jc w:val="both"/>
        <w:rPr>
          <w:sz w:val="28"/>
          <w:szCs w:val="28"/>
        </w:rPr>
      </w:pPr>
      <w:r w:rsidRPr="00152435">
        <w:rPr>
          <w:b/>
          <w:sz w:val="28"/>
          <w:szCs w:val="28"/>
        </w:rPr>
        <w:t>Виклад основного матеріалу.</w:t>
      </w:r>
      <w:r>
        <w:rPr>
          <w:b/>
          <w:sz w:val="28"/>
          <w:szCs w:val="28"/>
        </w:rPr>
        <w:t xml:space="preserve"> </w:t>
      </w:r>
      <w:r w:rsidRPr="00770B83">
        <w:rPr>
          <w:sz w:val="28"/>
          <w:szCs w:val="28"/>
        </w:rPr>
        <w:t>Про стан</w:t>
      </w:r>
      <w:r>
        <w:rPr>
          <w:sz w:val="28"/>
          <w:szCs w:val="28"/>
        </w:rPr>
        <w:t xml:space="preserve"> вітчизняної економіки свідчать наступні основн</w:t>
      </w:r>
      <w:r w:rsidR="00FC3C6C">
        <w:rPr>
          <w:sz w:val="28"/>
          <w:szCs w:val="28"/>
        </w:rPr>
        <w:t>і макроекономічні показники (та</w:t>
      </w:r>
      <w:r>
        <w:rPr>
          <w:sz w:val="28"/>
          <w:szCs w:val="28"/>
        </w:rPr>
        <w:t>б</w:t>
      </w:r>
      <w:r w:rsidR="00FC3C6C">
        <w:rPr>
          <w:sz w:val="28"/>
          <w:szCs w:val="28"/>
        </w:rPr>
        <w:t>л</w:t>
      </w:r>
      <w:r>
        <w:rPr>
          <w:sz w:val="28"/>
          <w:szCs w:val="28"/>
        </w:rPr>
        <w:t>. 1)</w:t>
      </w:r>
    </w:p>
    <w:p w:rsidR="006E3BAB" w:rsidRDefault="006E3BAB" w:rsidP="006E3BAB">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Таблиця 1</w:t>
      </w:r>
    </w:p>
    <w:p w:rsidR="006E3BAB" w:rsidRDefault="006E3BAB" w:rsidP="006E3BAB">
      <w:pPr>
        <w:autoSpaceDE w:val="0"/>
        <w:autoSpaceDN w:val="0"/>
        <w:adjustRightInd w:val="0"/>
        <w:spacing w:after="0" w:line="240" w:lineRule="auto"/>
        <w:jc w:val="center"/>
        <w:rPr>
          <w:rFonts w:ascii="Times New Roman" w:hAnsi="Times New Roman"/>
          <w:b/>
          <w:bCs/>
          <w:sz w:val="24"/>
          <w:szCs w:val="24"/>
        </w:rPr>
      </w:pPr>
      <w:r w:rsidRPr="00D17E32">
        <w:rPr>
          <w:rFonts w:ascii="Times New Roman" w:hAnsi="Times New Roman"/>
          <w:b/>
          <w:bCs/>
          <w:sz w:val="24"/>
          <w:szCs w:val="24"/>
        </w:rPr>
        <w:t>Основні макроекономічні показники  соціально-економічного розвитку України</w:t>
      </w:r>
    </w:p>
    <w:p w:rsidR="006E3BAB" w:rsidRDefault="006E3BAB" w:rsidP="006E3BA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за 2006-2009</w:t>
      </w:r>
      <w:r w:rsidRPr="00D17E32">
        <w:rPr>
          <w:rFonts w:ascii="Times New Roman" w:hAnsi="Times New Roman"/>
          <w:b/>
          <w:bCs/>
          <w:sz w:val="24"/>
          <w:szCs w:val="24"/>
        </w:rPr>
        <w:t>рр.</w:t>
      </w:r>
      <w:r>
        <w:rPr>
          <w:rFonts w:ascii="Times New Roman" w:hAnsi="Times New Roman"/>
          <w:b/>
          <w:bCs/>
          <w:sz w:val="24"/>
          <w:szCs w:val="24"/>
        </w:rPr>
        <w:t>*</w:t>
      </w:r>
    </w:p>
    <w:p w:rsidR="00D330BA" w:rsidRDefault="00D330BA" w:rsidP="006E3BAB">
      <w:pPr>
        <w:autoSpaceDE w:val="0"/>
        <w:autoSpaceDN w:val="0"/>
        <w:adjustRightInd w:val="0"/>
        <w:spacing w:after="0" w:line="240" w:lineRule="auto"/>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993"/>
        <w:gridCol w:w="992"/>
        <w:gridCol w:w="988"/>
        <w:gridCol w:w="996"/>
      </w:tblGrid>
      <w:tr w:rsidR="006E3BAB" w:rsidRPr="000C713C" w:rsidTr="006C3F5C">
        <w:tc>
          <w:tcPr>
            <w:tcW w:w="5778" w:type="dxa"/>
            <w:vMerge w:val="restart"/>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 xml:space="preserve">Показники </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2006</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2007</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2008</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2009</w:t>
            </w:r>
          </w:p>
        </w:tc>
      </w:tr>
      <w:tr w:rsidR="006E3BAB" w:rsidRPr="000C713C" w:rsidTr="006C3F5C">
        <w:tc>
          <w:tcPr>
            <w:tcW w:w="5778" w:type="dxa"/>
            <w:vMerge/>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tc>
        <w:tc>
          <w:tcPr>
            <w:tcW w:w="3969" w:type="dxa"/>
            <w:gridSpan w:val="4"/>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роки</w:t>
            </w:r>
          </w:p>
        </w:tc>
      </w:tr>
      <w:tr w:rsidR="00D330BA" w:rsidRPr="000C713C" w:rsidTr="006C3F5C">
        <w:tc>
          <w:tcPr>
            <w:tcW w:w="5778" w:type="dxa"/>
          </w:tcPr>
          <w:p w:rsidR="00D330BA" w:rsidRPr="000C713C" w:rsidRDefault="00D330BA" w:rsidP="00D330BA">
            <w:pPr>
              <w:pStyle w:val="a9"/>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w:t>
            </w:r>
          </w:p>
        </w:tc>
        <w:tc>
          <w:tcPr>
            <w:tcW w:w="993" w:type="dxa"/>
          </w:tcPr>
          <w:p w:rsidR="00D330BA" w:rsidRPr="00D330BA" w:rsidRDefault="00D330BA" w:rsidP="00D33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Pr>
          <w:p w:rsidR="00D330BA" w:rsidRPr="000C713C" w:rsidRDefault="00D330BA" w:rsidP="00D33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88" w:type="dxa"/>
          </w:tcPr>
          <w:p w:rsidR="00D330BA" w:rsidRPr="000C713C" w:rsidRDefault="00D330BA" w:rsidP="00D33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6" w:type="dxa"/>
          </w:tcPr>
          <w:p w:rsidR="00D330BA" w:rsidRPr="000C713C" w:rsidRDefault="00D330BA" w:rsidP="00D33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ВВП в % до попереднього року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lang w:val="en-US"/>
              </w:rPr>
            </w:pPr>
            <w:r w:rsidRPr="000C713C">
              <w:rPr>
                <w:rFonts w:ascii="Times New Roman" w:hAnsi="Times New Roman"/>
                <w:bCs/>
                <w:sz w:val="24"/>
                <w:szCs w:val="24"/>
                <w:lang w:val="en-US"/>
              </w:rPr>
              <w:t>114</w:t>
            </w:r>
            <w:r w:rsidRPr="000C713C">
              <w:rPr>
                <w:rFonts w:ascii="Times New Roman" w:hAnsi="Times New Roman"/>
                <w:bCs/>
                <w:sz w:val="24"/>
                <w:szCs w:val="24"/>
              </w:rPr>
              <w:t>,</w:t>
            </w:r>
            <w:r w:rsidRPr="000C713C">
              <w:rPr>
                <w:rFonts w:ascii="Times New Roman" w:hAnsi="Times New Roman"/>
                <w:bCs/>
                <w:sz w:val="24"/>
                <w:szCs w:val="24"/>
                <w:lang w:val="en-US"/>
              </w:rPr>
              <w:t>8</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122,7</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128,6</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113,3</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 xml:space="preserve">ВВП в % до попереднього року у розрахунку на одну особу </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108,1</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108,6</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102,9</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85,6</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ВВП в % до підсумку: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tc>
      </w:tr>
      <w:tr w:rsidR="006E3BAB" w:rsidRPr="000C713C" w:rsidTr="006C3F5C">
        <w:tc>
          <w:tcPr>
            <w:tcW w:w="5778" w:type="dxa"/>
          </w:tcPr>
          <w:p w:rsidR="006E3BAB" w:rsidRPr="000C713C" w:rsidRDefault="006E3BAB" w:rsidP="006E3BAB">
            <w:pPr>
              <w:pStyle w:val="a9"/>
              <w:numPr>
                <w:ilvl w:val="0"/>
                <w:numId w:val="1"/>
              </w:numPr>
              <w:autoSpaceDE w:val="0"/>
              <w:autoSpaceDN w:val="0"/>
              <w:adjustRightInd w:val="0"/>
              <w:spacing w:after="0" w:line="240" w:lineRule="auto"/>
              <w:ind w:left="0" w:firstLine="0"/>
              <w:rPr>
                <w:rFonts w:ascii="Times New Roman" w:hAnsi="Times New Roman"/>
                <w:bCs/>
                <w:sz w:val="24"/>
                <w:szCs w:val="24"/>
              </w:rPr>
            </w:pPr>
            <w:r w:rsidRPr="000C713C">
              <w:rPr>
                <w:rFonts w:ascii="Times New Roman" w:hAnsi="Times New Roman"/>
                <w:bCs/>
                <w:sz w:val="24"/>
                <w:szCs w:val="24"/>
              </w:rPr>
              <w:t>кінцеві споживачі витрат</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78,1</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77,5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80,1</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84,7</w:t>
            </w:r>
          </w:p>
        </w:tc>
      </w:tr>
      <w:tr w:rsidR="006E3BAB" w:rsidRPr="000C713C" w:rsidTr="006C3F5C">
        <w:tc>
          <w:tcPr>
            <w:tcW w:w="5778" w:type="dxa"/>
          </w:tcPr>
          <w:p w:rsidR="006E3BAB" w:rsidRPr="000C713C" w:rsidRDefault="006E3BAB" w:rsidP="006E3BAB">
            <w:pPr>
              <w:pStyle w:val="a9"/>
              <w:numPr>
                <w:ilvl w:val="0"/>
                <w:numId w:val="1"/>
              </w:numPr>
              <w:autoSpaceDE w:val="0"/>
              <w:autoSpaceDN w:val="0"/>
              <w:adjustRightInd w:val="0"/>
              <w:spacing w:after="0" w:line="240" w:lineRule="auto"/>
              <w:ind w:left="0" w:firstLine="0"/>
              <w:rPr>
                <w:rFonts w:ascii="Times New Roman" w:hAnsi="Times New Roman"/>
                <w:bCs/>
                <w:sz w:val="24"/>
                <w:szCs w:val="24"/>
              </w:rPr>
            </w:pPr>
            <w:r w:rsidRPr="000C713C">
              <w:rPr>
                <w:rFonts w:ascii="Times New Roman" w:hAnsi="Times New Roman"/>
                <w:bCs/>
                <w:sz w:val="24"/>
                <w:szCs w:val="24"/>
              </w:rPr>
              <w:t>домашні господарства</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58,7</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58,7</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61,4</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63,7</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Валове нагромадження основного капіталу, в % до підсумку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24,6</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27,5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26,4</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18,3</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Експорт товарів і послуг,   млн. дол. США</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50239</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64001</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85612</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54253</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Імпорт товарів і послуг,  млн. дол. США</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53307</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72153</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99962</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56206</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Сальдо поточного платіжного балансу, млн. дол. США</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-1617</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-5272</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-12763</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-1732</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Індекс споживчих цін в % до попереднього року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 xml:space="preserve">109,1 </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112,8</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125,2</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115,9</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Індекс цін виробництва промислової продукції в % до попереднього року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109,6</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119,5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135,5</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106,5</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Темпи зростання обсягів роздрібного товарообігу в % до попереднього року у порівняльних цінах</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126,4</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129,5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117,3</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79,1</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Процентна ставка по депозитах:</w:t>
            </w:r>
          </w:p>
          <w:p w:rsidR="006E3BAB" w:rsidRPr="000C713C" w:rsidRDefault="006E3BAB" w:rsidP="006E3BAB">
            <w:pPr>
              <w:pStyle w:val="a9"/>
              <w:numPr>
                <w:ilvl w:val="0"/>
                <w:numId w:val="1"/>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lang w:val="en-US"/>
              </w:rPr>
              <w:t xml:space="preserve">- </w:t>
            </w:r>
            <w:r w:rsidRPr="000C713C">
              <w:rPr>
                <w:rFonts w:ascii="Times New Roman" w:hAnsi="Times New Roman"/>
                <w:bCs/>
                <w:sz w:val="24"/>
                <w:szCs w:val="24"/>
              </w:rPr>
              <w:t>у національній валюті</w:t>
            </w:r>
          </w:p>
          <w:p w:rsidR="006E3BAB" w:rsidRPr="000C713C" w:rsidRDefault="006E3BAB" w:rsidP="006E3BAB">
            <w:pPr>
              <w:pStyle w:val="a9"/>
              <w:numPr>
                <w:ilvl w:val="0"/>
                <w:numId w:val="1"/>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lang w:val="en-US"/>
              </w:rPr>
              <w:t xml:space="preserve">- </w:t>
            </w:r>
            <w:r w:rsidRPr="000C713C">
              <w:rPr>
                <w:rFonts w:ascii="Times New Roman" w:hAnsi="Times New Roman"/>
                <w:bCs/>
                <w:sz w:val="24"/>
                <w:szCs w:val="24"/>
              </w:rPr>
              <w:t>у іноземній валюті</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7,6</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5,8</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8,2</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5,8</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9,9</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5,4</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14,0</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9,2</w:t>
            </w:r>
          </w:p>
        </w:tc>
      </w:tr>
      <w:tr w:rsidR="006E3BAB" w:rsidRPr="000C713C" w:rsidTr="006C3F5C">
        <w:tc>
          <w:tcPr>
            <w:tcW w:w="5778" w:type="dxa"/>
          </w:tcPr>
          <w:p w:rsidR="006E3BAB" w:rsidRPr="000C713C" w:rsidRDefault="006E3BAB" w:rsidP="006E3BAB">
            <w:pPr>
              <w:pStyle w:val="a9"/>
              <w:numPr>
                <w:ilvl w:val="0"/>
                <w:numId w:val="3"/>
              </w:numPr>
              <w:autoSpaceDE w:val="0"/>
              <w:autoSpaceDN w:val="0"/>
              <w:adjustRightInd w:val="0"/>
              <w:spacing w:after="0" w:line="240" w:lineRule="auto"/>
              <w:rPr>
                <w:rFonts w:ascii="Times New Roman" w:hAnsi="Times New Roman"/>
                <w:bCs/>
                <w:sz w:val="24"/>
                <w:szCs w:val="24"/>
              </w:rPr>
            </w:pPr>
            <w:r w:rsidRPr="000C713C">
              <w:rPr>
                <w:rFonts w:ascii="Times New Roman" w:hAnsi="Times New Roman"/>
                <w:bCs/>
                <w:sz w:val="24"/>
                <w:szCs w:val="24"/>
              </w:rPr>
              <w:t>Процентна ставка по кредитах:</w:t>
            </w:r>
          </w:p>
          <w:p w:rsidR="006E3BAB" w:rsidRPr="000C713C" w:rsidRDefault="006E3BAB" w:rsidP="006E3BAB">
            <w:pPr>
              <w:pStyle w:val="a9"/>
              <w:numPr>
                <w:ilvl w:val="0"/>
                <w:numId w:val="1"/>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lang w:val="en-US"/>
              </w:rPr>
              <w:t xml:space="preserve">- </w:t>
            </w:r>
            <w:r w:rsidRPr="000C713C">
              <w:rPr>
                <w:rFonts w:ascii="Times New Roman" w:hAnsi="Times New Roman"/>
                <w:bCs/>
                <w:sz w:val="24"/>
                <w:szCs w:val="24"/>
              </w:rPr>
              <w:t>у національній валюті</w:t>
            </w:r>
          </w:p>
          <w:p w:rsidR="006E3BAB" w:rsidRPr="000C713C" w:rsidRDefault="006E3BAB" w:rsidP="006E3BAB">
            <w:pPr>
              <w:pStyle w:val="a9"/>
              <w:numPr>
                <w:ilvl w:val="0"/>
                <w:numId w:val="1"/>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lang w:val="en-US"/>
              </w:rPr>
              <w:t xml:space="preserve">- </w:t>
            </w:r>
            <w:r w:rsidRPr="000C713C">
              <w:rPr>
                <w:rFonts w:ascii="Times New Roman" w:hAnsi="Times New Roman"/>
                <w:bCs/>
                <w:sz w:val="24"/>
                <w:szCs w:val="24"/>
              </w:rPr>
              <w:t>у іноземній валюті</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15,4</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11,3</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14,4</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11,3</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17,8</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11,6</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20,9</w:t>
            </w: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10,0</w:t>
            </w:r>
          </w:p>
        </w:tc>
      </w:tr>
      <w:tr w:rsidR="00D330BA" w:rsidRPr="000C713C" w:rsidTr="00893CBE">
        <w:tc>
          <w:tcPr>
            <w:tcW w:w="5778" w:type="dxa"/>
          </w:tcPr>
          <w:p w:rsidR="00D330BA" w:rsidRPr="000C713C" w:rsidRDefault="00D330BA" w:rsidP="00893CBE">
            <w:pPr>
              <w:pStyle w:val="a9"/>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lastRenderedPageBreak/>
              <w:t>1</w:t>
            </w:r>
          </w:p>
        </w:tc>
        <w:tc>
          <w:tcPr>
            <w:tcW w:w="993" w:type="dxa"/>
          </w:tcPr>
          <w:p w:rsidR="00D330BA" w:rsidRPr="00D330BA" w:rsidRDefault="00D330BA" w:rsidP="00893C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Pr>
          <w:p w:rsidR="00D330BA" w:rsidRPr="000C713C" w:rsidRDefault="00D330BA" w:rsidP="00893C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88" w:type="dxa"/>
          </w:tcPr>
          <w:p w:rsidR="00D330BA" w:rsidRPr="000C713C" w:rsidRDefault="00D330BA" w:rsidP="00893C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6" w:type="dxa"/>
          </w:tcPr>
          <w:p w:rsidR="00D330BA" w:rsidRPr="000C713C" w:rsidRDefault="00D330BA" w:rsidP="00893C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13.  Індекс реальної заробітної плати в % до попереднього року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118,3</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112,5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106,3</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90,8</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14. Рівень безробіття у % до економічно активного населення за методом МОП</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7,4</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6,9</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6,9</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9,6</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 xml:space="preserve"> 15. Динаміка потреби підприємств у працівниках тис. осіб</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170,5</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169,7</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91,1</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65,8</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16. Інвестиції в основний капітал у % до попереднього року</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119,8</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129,8</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97,4</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58,5</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17. Офіційний курс грн. до євро, середній за період</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6,3369</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6,9179</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7,7080</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10,8679</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18. Офіційний курс грн. до дол. США, середній за період</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5,0500</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5,0500</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5,2672</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p>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7,7912</w:t>
            </w:r>
          </w:p>
        </w:tc>
      </w:tr>
      <w:tr w:rsidR="006E3BAB" w:rsidRPr="000C713C" w:rsidTr="006C3F5C">
        <w:trPr>
          <w:trHeight w:val="368"/>
        </w:trPr>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lang w:val="ru-RU"/>
              </w:rPr>
              <w:t>1</w:t>
            </w:r>
            <w:r w:rsidRPr="000C713C">
              <w:rPr>
                <w:rFonts w:ascii="Times New Roman" w:hAnsi="Times New Roman"/>
                <w:bCs/>
                <w:sz w:val="24"/>
                <w:szCs w:val="24"/>
              </w:rPr>
              <w:t>9. Доходи зведеного бюджету в % до ВВП</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31,6</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30,5</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31,4</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29,8</w:t>
            </w:r>
          </w:p>
        </w:tc>
      </w:tr>
      <w:tr w:rsidR="006E3BAB" w:rsidRPr="000C713C" w:rsidTr="006C3F5C">
        <w:tc>
          <w:tcPr>
            <w:tcW w:w="5778" w:type="dxa"/>
          </w:tcPr>
          <w:p w:rsidR="006E3BAB" w:rsidRPr="000C713C" w:rsidRDefault="006E3BAB" w:rsidP="006E3BAB">
            <w:pPr>
              <w:pStyle w:val="a9"/>
              <w:numPr>
                <w:ilvl w:val="0"/>
                <w:numId w:val="2"/>
              </w:numPr>
              <w:autoSpaceDE w:val="0"/>
              <w:autoSpaceDN w:val="0"/>
              <w:adjustRightInd w:val="0"/>
              <w:spacing w:after="0" w:line="240" w:lineRule="auto"/>
              <w:ind w:left="0"/>
              <w:rPr>
                <w:rFonts w:ascii="Times New Roman" w:hAnsi="Times New Roman"/>
                <w:bCs/>
                <w:sz w:val="24"/>
                <w:szCs w:val="24"/>
              </w:rPr>
            </w:pPr>
            <w:r w:rsidRPr="000C713C">
              <w:rPr>
                <w:rFonts w:ascii="Times New Roman" w:hAnsi="Times New Roman"/>
                <w:bCs/>
                <w:sz w:val="24"/>
                <w:szCs w:val="24"/>
              </w:rPr>
              <w:t>20. Видатки зведеного бюджету в % до ВВП</w:t>
            </w:r>
          </w:p>
        </w:tc>
        <w:tc>
          <w:tcPr>
            <w:tcW w:w="993"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32,2</w:t>
            </w:r>
          </w:p>
        </w:tc>
        <w:tc>
          <w:tcPr>
            <w:tcW w:w="992"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31,4</w:t>
            </w:r>
          </w:p>
        </w:tc>
        <w:tc>
          <w:tcPr>
            <w:tcW w:w="988"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32,6</w:t>
            </w:r>
          </w:p>
        </w:tc>
        <w:tc>
          <w:tcPr>
            <w:tcW w:w="996" w:type="dxa"/>
          </w:tcPr>
          <w:p w:rsidR="006E3BAB" w:rsidRPr="000C713C" w:rsidRDefault="006E3BAB" w:rsidP="006C3F5C">
            <w:pPr>
              <w:autoSpaceDE w:val="0"/>
              <w:autoSpaceDN w:val="0"/>
              <w:adjustRightInd w:val="0"/>
              <w:spacing w:after="0" w:line="240" w:lineRule="auto"/>
              <w:jc w:val="center"/>
              <w:rPr>
                <w:rFonts w:ascii="Times New Roman" w:hAnsi="Times New Roman"/>
                <w:bCs/>
                <w:sz w:val="24"/>
                <w:szCs w:val="24"/>
              </w:rPr>
            </w:pPr>
            <w:r w:rsidRPr="000C713C">
              <w:rPr>
                <w:rFonts w:ascii="Times New Roman" w:hAnsi="Times New Roman"/>
                <w:bCs/>
                <w:sz w:val="24"/>
                <w:szCs w:val="24"/>
              </w:rPr>
              <w:t>33,6</w:t>
            </w:r>
          </w:p>
        </w:tc>
      </w:tr>
    </w:tbl>
    <w:p w:rsidR="006E3BAB" w:rsidRPr="000B73DB" w:rsidRDefault="006E3BAB" w:rsidP="006E3BAB">
      <w:pPr>
        <w:pStyle w:val="a9"/>
        <w:numPr>
          <w:ilvl w:val="0"/>
          <w:numId w:val="4"/>
        </w:numPr>
        <w:autoSpaceDE w:val="0"/>
        <w:autoSpaceDN w:val="0"/>
        <w:adjustRightInd w:val="0"/>
        <w:spacing w:after="0" w:line="360" w:lineRule="auto"/>
        <w:ind w:left="0"/>
        <w:rPr>
          <w:rFonts w:ascii="Times New Roman" w:hAnsi="Times New Roman"/>
          <w:bCs/>
          <w:i/>
          <w:color w:val="000000"/>
          <w:sz w:val="24"/>
          <w:szCs w:val="28"/>
        </w:rPr>
      </w:pPr>
      <w:r w:rsidRPr="000B73DB">
        <w:rPr>
          <w:rFonts w:ascii="Times New Roman" w:hAnsi="Times New Roman"/>
          <w:bCs/>
          <w:i/>
          <w:color w:val="000000"/>
          <w:sz w:val="24"/>
          <w:szCs w:val="28"/>
        </w:rPr>
        <w:t xml:space="preserve">Складено на підставі </w:t>
      </w:r>
      <w:r w:rsidRPr="000B73DB">
        <w:rPr>
          <w:rFonts w:ascii="Times New Roman" w:hAnsi="Times New Roman"/>
          <w:bCs/>
          <w:i/>
          <w:color w:val="000000"/>
          <w:sz w:val="24"/>
          <w:szCs w:val="28"/>
          <w:lang w:val="en-US"/>
        </w:rPr>
        <w:t>[</w:t>
      </w:r>
      <w:r w:rsidRPr="000B73DB">
        <w:rPr>
          <w:rFonts w:ascii="Times New Roman" w:hAnsi="Times New Roman"/>
          <w:bCs/>
          <w:i/>
          <w:color w:val="000000"/>
          <w:sz w:val="24"/>
          <w:szCs w:val="28"/>
        </w:rPr>
        <w:t>2</w:t>
      </w:r>
      <w:r w:rsidRPr="000B73DB">
        <w:rPr>
          <w:rFonts w:ascii="Times New Roman" w:hAnsi="Times New Roman"/>
          <w:bCs/>
          <w:i/>
          <w:color w:val="000000"/>
          <w:sz w:val="24"/>
          <w:szCs w:val="28"/>
          <w:lang w:val="en-US"/>
        </w:rPr>
        <w:t>]</w:t>
      </w:r>
    </w:p>
    <w:p w:rsidR="006E3BAB" w:rsidRDefault="006E3BAB" w:rsidP="006E3BAB">
      <w:pPr>
        <w:autoSpaceDE w:val="0"/>
        <w:autoSpaceDN w:val="0"/>
        <w:adjustRightInd w:val="0"/>
        <w:spacing w:after="0" w:line="360" w:lineRule="auto"/>
        <w:ind w:firstLine="709"/>
        <w:jc w:val="both"/>
        <w:rPr>
          <w:rFonts w:ascii="Arial,Bold" w:hAnsi="Arial,Bold" w:cs="Arial,Bold"/>
          <w:bCs/>
          <w:color w:val="000000"/>
          <w:sz w:val="28"/>
          <w:szCs w:val="28"/>
        </w:rPr>
      </w:pPr>
      <w:r w:rsidRPr="00293BD9">
        <w:rPr>
          <w:rFonts w:ascii="Arial,Bold" w:hAnsi="Arial,Bold" w:cs="Arial,Bold"/>
          <w:bCs/>
          <w:color w:val="000000"/>
          <w:sz w:val="28"/>
          <w:szCs w:val="28"/>
        </w:rPr>
        <w:t xml:space="preserve">Аналіз </w:t>
      </w:r>
      <w:r>
        <w:rPr>
          <w:rFonts w:ascii="Arial,Bold" w:hAnsi="Arial,Bold" w:cs="Arial,Bold"/>
          <w:bCs/>
          <w:color w:val="000000"/>
          <w:sz w:val="28"/>
          <w:szCs w:val="28"/>
        </w:rPr>
        <w:t xml:space="preserve">основних макроекономічних показників розвитку національної економіки за період з 2006 по 2009 роки свідчить про </w:t>
      </w:r>
      <w:r w:rsidR="009E2488">
        <w:rPr>
          <w:rFonts w:ascii="Arial,Bold" w:hAnsi="Arial,Bold" w:cs="Arial,Bold"/>
          <w:bCs/>
          <w:color w:val="000000"/>
          <w:sz w:val="28"/>
          <w:szCs w:val="28"/>
        </w:rPr>
        <w:t>радикальне зниження всіх базових індикаторів</w:t>
      </w:r>
      <w:r>
        <w:rPr>
          <w:rFonts w:ascii="Arial,Bold" w:hAnsi="Arial,Bold" w:cs="Arial,Bold"/>
          <w:bCs/>
          <w:color w:val="000000"/>
          <w:sz w:val="28"/>
          <w:szCs w:val="28"/>
        </w:rPr>
        <w:t xml:space="preserve"> і говорити про макроекономічну стабільність </w:t>
      </w:r>
      <w:r w:rsidR="009E2488">
        <w:rPr>
          <w:rFonts w:ascii="Arial,Bold" w:hAnsi="Arial,Bold" w:cs="Arial,Bold"/>
          <w:bCs/>
          <w:color w:val="000000"/>
          <w:sz w:val="28"/>
          <w:szCs w:val="28"/>
        </w:rPr>
        <w:t>можна лише в короткостроковій перспективі</w:t>
      </w:r>
      <w:r>
        <w:rPr>
          <w:rFonts w:ascii="Arial,Bold" w:hAnsi="Arial,Bold" w:cs="Arial,Bold"/>
          <w:bCs/>
          <w:color w:val="000000"/>
          <w:sz w:val="28"/>
          <w:szCs w:val="28"/>
        </w:rPr>
        <w:t xml:space="preserve">. </w:t>
      </w:r>
    </w:p>
    <w:p w:rsidR="006E3BAB" w:rsidRDefault="006E3BAB" w:rsidP="006E3BAB">
      <w:pPr>
        <w:pStyle w:val="a5"/>
        <w:spacing w:before="0" w:beforeAutospacing="0" w:after="0" w:afterAutospacing="0" w:line="360" w:lineRule="auto"/>
        <w:ind w:firstLine="708"/>
        <w:jc w:val="both"/>
        <w:rPr>
          <w:sz w:val="28"/>
        </w:rPr>
      </w:pPr>
      <w:r>
        <w:rPr>
          <w:sz w:val="28"/>
        </w:rPr>
        <w:t>Необхідно</w:t>
      </w:r>
      <w:r w:rsidRPr="00F35B35">
        <w:rPr>
          <w:sz w:val="28"/>
        </w:rPr>
        <w:t xml:space="preserve"> враховувати й те</w:t>
      </w:r>
      <w:r>
        <w:rPr>
          <w:sz w:val="28"/>
        </w:rPr>
        <w:t xml:space="preserve">, що, на відміну від кризи 1997- </w:t>
      </w:r>
      <w:r w:rsidRPr="00F35B35">
        <w:rPr>
          <w:sz w:val="28"/>
        </w:rPr>
        <w:t>1998 років</w:t>
      </w:r>
      <w:r>
        <w:rPr>
          <w:sz w:val="28"/>
        </w:rPr>
        <w:t>, нинішня криза не стала для України</w:t>
      </w:r>
      <w:r w:rsidRPr="00F35B35">
        <w:rPr>
          <w:sz w:val="28"/>
        </w:rPr>
        <w:t xml:space="preserve"> к</w:t>
      </w:r>
      <w:r>
        <w:rPr>
          <w:sz w:val="28"/>
        </w:rPr>
        <w:t>ризою відбудови. Скоріше навпаки -</w:t>
      </w:r>
      <w:r w:rsidRPr="00F35B35">
        <w:rPr>
          <w:sz w:val="28"/>
        </w:rPr>
        <w:t xml:space="preserve"> вона поглибила протиріччя, що їй передували. Конструктивна функція кризи </w:t>
      </w:r>
      <w:r w:rsidR="009E2488">
        <w:rPr>
          <w:sz w:val="28"/>
        </w:rPr>
        <w:t xml:space="preserve">щодо реструктуризації економіки </w:t>
      </w:r>
      <w:r w:rsidRPr="00F35B35">
        <w:rPr>
          <w:sz w:val="28"/>
        </w:rPr>
        <w:t xml:space="preserve">залишилася нереалізованою. Це значно ускладнює </w:t>
      </w:r>
      <w:r>
        <w:rPr>
          <w:sz w:val="28"/>
        </w:rPr>
        <w:t xml:space="preserve">нинішню </w:t>
      </w:r>
      <w:r w:rsidRPr="00F35B35">
        <w:rPr>
          <w:sz w:val="28"/>
        </w:rPr>
        <w:t xml:space="preserve">економічну ситуацію в країні. </w:t>
      </w:r>
    </w:p>
    <w:p w:rsidR="009E2488" w:rsidRDefault="006E3BAB" w:rsidP="006E3BAB">
      <w:pPr>
        <w:pStyle w:val="a5"/>
        <w:spacing w:before="0" w:beforeAutospacing="0" w:after="0" w:afterAutospacing="0" w:line="360" w:lineRule="auto"/>
        <w:ind w:firstLine="708"/>
        <w:jc w:val="both"/>
        <w:rPr>
          <w:sz w:val="28"/>
        </w:rPr>
      </w:pPr>
      <w:r>
        <w:rPr>
          <w:sz w:val="28"/>
        </w:rPr>
        <w:t>Найбільш негативним явищем в економіці країни є збільшення дефіциту бюджету та державного боргу. Показники платоспроможності та ліквідності за державними борговими зобов’язаннями наближаються до граничного значення, а по деяких перевищили його. Так, відношення витрат на обслуговування й погашення державного боргу до доходів державного бюджету у 2008</w:t>
      </w:r>
      <w:r w:rsidRPr="003358DA">
        <w:rPr>
          <w:sz w:val="28"/>
          <w:lang w:val="ru-RU"/>
        </w:rPr>
        <w:t xml:space="preserve"> </w:t>
      </w:r>
      <w:r>
        <w:rPr>
          <w:sz w:val="28"/>
        </w:rPr>
        <w:t>році склало 3,83%, у 2009</w:t>
      </w:r>
      <w:r w:rsidRPr="003358DA">
        <w:rPr>
          <w:sz w:val="28"/>
          <w:lang w:val="ru-RU"/>
        </w:rPr>
        <w:t xml:space="preserve"> </w:t>
      </w:r>
      <w:r>
        <w:rPr>
          <w:sz w:val="28"/>
        </w:rPr>
        <w:t xml:space="preserve">році – 15,40%, при граничному значенні  - 10%. Витрати на обслуговування й погашення державного боргу по відношенню до витрат бюджету склали у 2008 році </w:t>
      </w:r>
      <w:r w:rsidRPr="003358DA">
        <w:rPr>
          <w:sz w:val="28"/>
          <w:lang w:val="ru-RU"/>
        </w:rPr>
        <w:t xml:space="preserve">- </w:t>
      </w:r>
      <w:r>
        <w:rPr>
          <w:sz w:val="28"/>
        </w:rPr>
        <w:t>3,70%, а в 2009 році вже 13,70%</w:t>
      </w:r>
      <w:r w:rsidR="009E2488">
        <w:rPr>
          <w:sz w:val="28"/>
        </w:rPr>
        <w:t xml:space="preserve"> (рис.1).</w:t>
      </w:r>
      <w:r>
        <w:rPr>
          <w:sz w:val="28"/>
        </w:rPr>
        <w:t xml:space="preserve"> </w:t>
      </w:r>
    </w:p>
    <w:p w:rsidR="006E3BAB" w:rsidRDefault="009E2488" w:rsidP="006E3BAB">
      <w:pPr>
        <w:pStyle w:val="a5"/>
        <w:spacing w:before="0" w:beforeAutospacing="0" w:after="0" w:afterAutospacing="0" w:line="360" w:lineRule="auto"/>
        <w:ind w:firstLine="708"/>
        <w:jc w:val="both"/>
        <w:rPr>
          <w:sz w:val="28"/>
        </w:rPr>
      </w:pPr>
      <w:r>
        <w:rPr>
          <w:sz w:val="28"/>
        </w:rPr>
        <w:t xml:space="preserve">За розрахунками та аналізом провідних українських вчених </w:t>
      </w:r>
      <w:r w:rsidRPr="00FE2370">
        <w:rPr>
          <w:sz w:val="28"/>
        </w:rPr>
        <w:t>наша ек</w:t>
      </w:r>
      <w:r>
        <w:rPr>
          <w:sz w:val="28"/>
        </w:rPr>
        <w:t>ономіка має солідний потенціал.</w:t>
      </w:r>
      <w:r w:rsidRPr="00FE2370">
        <w:rPr>
          <w:sz w:val="28"/>
        </w:rPr>
        <w:t xml:space="preserve"> Тоді</w:t>
      </w:r>
      <w:r>
        <w:rPr>
          <w:sz w:val="28"/>
        </w:rPr>
        <w:t xml:space="preserve"> виникає питання,</w:t>
      </w:r>
      <w:r w:rsidRPr="00FE2370">
        <w:rPr>
          <w:sz w:val="28"/>
        </w:rPr>
        <w:t xml:space="preserve"> чому Україна</w:t>
      </w:r>
      <w:r w:rsidRPr="009E2488">
        <w:rPr>
          <w:sz w:val="28"/>
        </w:rPr>
        <w:t xml:space="preserve"> </w:t>
      </w:r>
      <w:r w:rsidRPr="00FE2370">
        <w:rPr>
          <w:sz w:val="28"/>
        </w:rPr>
        <w:t>виявилася країною з найбільш</w:t>
      </w:r>
      <w:r>
        <w:rPr>
          <w:sz w:val="28"/>
        </w:rPr>
        <w:t>им падінням економіки в Європі – 14-</w:t>
      </w:r>
      <w:r w:rsidRPr="00FE2370">
        <w:rPr>
          <w:sz w:val="28"/>
        </w:rPr>
        <w:t>15%</w:t>
      </w:r>
      <w:r>
        <w:rPr>
          <w:sz w:val="28"/>
        </w:rPr>
        <w:t>?</w:t>
      </w:r>
    </w:p>
    <w:p w:rsidR="006E3BAB" w:rsidRDefault="006E3BAB" w:rsidP="006E3BAB">
      <w:pPr>
        <w:jc w:val="center"/>
        <w:rPr>
          <w:lang w:val="en-US"/>
        </w:rPr>
      </w:pPr>
      <w:r>
        <w:rPr>
          <w:noProof/>
          <w:lang w:eastAsia="uk-UA"/>
        </w:rPr>
        <w:lastRenderedPageBreak/>
        <w:drawing>
          <wp:inline distT="0" distB="0" distL="0" distR="0">
            <wp:extent cx="6048375" cy="3143250"/>
            <wp:effectExtent l="0" t="0" r="0" b="0"/>
            <wp:docPr id="1" name="Об'є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3BAB" w:rsidRPr="006E3BAB" w:rsidRDefault="006E3BAB" w:rsidP="006E3BAB">
      <w:pPr>
        <w:pStyle w:val="a5"/>
        <w:spacing w:before="0" w:beforeAutospacing="0" w:after="0" w:afterAutospacing="0" w:line="360" w:lineRule="auto"/>
        <w:ind w:firstLine="708"/>
        <w:jc w:val="both"/>
        <w:rPr>
          <w:sz w:val="28"/>
          <w:lang w:val="ru-RU"/>
        </w:rPr>
      </w:pPr>
      <w:r>
        <w:rPr>
          <w:sz w:val="28"/>
        </w:rPr>
        <w:t>Рис. 1. Динаміка структури державного боргу України відносно ВВП за 2007-2009рр.</w:t>
      </w:r>
    </w:p>
    <w:p w:rsidR="006E3BAB" w:rsidRPr="000B73DB" w:rsidRDefault="006E3BAB" w:rsidP="006E3BAB">
      <w:pPr>
        <w:pStyle w:val="a5"/>
        <w:spacing w:before="0" w:beforeAutospacing="0" w:after="0" w:afterAutospacing="0" w:line="360" w:lineRule="auto"/>
        <w:ind w:firstLine="708"/>
        <w:jc w:val="both"/>
        <w:rPr>
          <w:i/>
        </w:rPr>
      </w:pPr>
      <w:r w:rsidRPr="006E3BAB">
        <w:rPr>
          <w:i/>
          <w:lang w:val="ru-RU"/>
        </w:rPr>
        <w:t xml:space="preserve">Побудовано </w:t>
      </w:r>
      <w:r w:rsidRPr="000B73DB">
        <w:rPr>
          <w:i/>
        </w:rPr>
        <w:t>за даними [</w:t>
      </w:r>
      <w:r w:rsidRPr="006E3BAB">
        <w:rPr>
          <w:i/>
          <w:lang w:val="ru-RU"/>
        </w:rPr>
        <w:t>1</w:t>
      </w:r>
      <w:r w:rsidRPr="000B73DB">
        <w:rPr>
          <w:i/>
        </w:rPr>
        <w:t>]</w:t>
      </w:r>
      <w:r w:rsidRPr="006E3BAB">
        <w:rPr>
          <w:i/>
          <w:lang w:val="ru-RU"/>
        </w:rPr>
        <w:t>.</w:t>
      </w:r>
    </w:p>
    <w:p w:rsidR="006E3BAB" w:rsidRPr="00FE2370" w:rsidRDefault="009E2488" w:rsidP="006E3BAB">
      <w:pPr>
        <w:pStyle w:val="a5"/>
        <w:spacing w:before="0" w:beforeAutospacing="0" w:after="0" w:afterAutospacing="0" w:line="360" w:lineRule="auto"/>
        <w:ind w:firstLine="709"/>
        <w:jc w:val="both"/>
        <w:rPr>
          <w:sz w:val="28"/>
        </w:rPr>
      </w:pPr>
      <w:r>
        <w:rPr>
          <w:sz w:val="28"/>
        </w:rPr>
        <w:t>Якщо ж ґрунтуватися на розрахунках у доларовому еквіваленті, то</w:t>
      </w:r>
      <w:r w:rsidR="006E3BAB" w:rsidRPr="00FE2370">
        <w:rPr>
          <w:sz w:val="28"/>
        </w:rPr>
        <w:t xml:space="preserve"> судячи зі статистики МВФ, </w:t>
      </w:r>
      <w:r w:rsidR="00C0122E">
        <w:rPr>
          <w:sz w:val="28"/>
        </w:rPr>
        <w:t xml:space="preserve">ситуація </w:t>
      </w:r>
      <w:r w:rsidR="006E3BAB" w:rsidRPr="00FE2370">
        <w:rPr>
          <w:sz w:val="28"/>
        </w:rPr>
        <w:t>узагалі катастрофічна.</w:t>
      </w:r>
      <w:r w:rsidR="006E3BAB">
        <w:rPr>
          <w:sz w:val="28"/>
        </w:rPr>
        <w:t xml:space="preserve"> </w:t>
      </w:r>
      <w:r w:rsidR="006E3BAB" w:rsidRPr="00FE2370">
        <w:rPr>
          <w:sz w:val="32"/>
        </w:rPr>
        <w:t>За р</w:t>
      </w:r>
      <w:r w:rsidR="006E3BAB">
        <w:rPr>
          <w:sz w:val="28"/>
        </w:rPr>
        <w:t>озрахунками</w:t>
      </w:r>
      <w:r w:rsidR="006E3BAB" w:rsidRPr="00FE2370">
        <w:rPr>
          <w:sz w:val="28"/>
        </w:rPr>
        <w:t xml:space="preserve"> МВФ </w:t>
      </w:r>
      <w:r w:rsidR="006E3BAB">
        <w:rPr>
          <w:sz w:val="28"/>
        </w:rPr>
        <w:t>у</w:t>
      </w:r>
      <w:r w:rsidR="006E3BAB" w:rsidRPr="00FE2370">
        <w:rPr>
          <w:sz w:val="28"/>
        </w:rPr>
        <w:t xml:space="preserve"> </w:t>
      </w:r>
      <w:r w:rsidR="006E3BAB">
        <w:rPr>
          <w:sz w:val="28"/>
        </w:rPr>
        <w:t xml:space="preserve">2008 році </w:t>
      </w:r>
      <w:r w:rsidR="006E3BAB" w:rsidRPr="00FE2370">
        <w:rPr>
          <w:sz w:val="28"/>
        </w:rPr>
        <w:t xml:space="preserve"> загальний обсяг ВВП Украї</w:t>
      </w:r>
      <w:r w:rsidR="00C0122E">
        <w:rPr>
          <w:sz w:val="28"/>
        </w:rPr>
        <w:t>ни становив 179,6 млрд. дол., а</w:t>
      </w:r>
      <w:r w:rsidR="006E3BAB" w:rsidRPr="00FE2370">
        <w:rPr>
          <w:sz w:val="28"/>
        </w:rPr>
        <w:t> </w:t>
      </w:r>
      <w:r w:rsidR="006E3BAB">
        <w:rPr>
          <w:sz w:val="28"/>
        </w:rPr>
        <w:t xml:space="preserve">у </w:t>
      </w:r>
      <w:r w:rsidR="006E3BAB" w:rsidRPr="00FE2370">
        <w:rPr>
          <w:rStyle w:val="nobr"/>
          <w:sz w:val="28"/>
        </w:rPr>
        <w:t>2009</w:t>
      </w:r>
      <w:r w:rsidR="006E3BAB">
        <w:rPr>
          <w:rStyle w:val="nobr"/>
          <w:sz w:val="28"/>
        </w:rPr>
        <w:t xml:space="preserve"> році</w:t>
      </w:r>
      <w:r w:rsidR="006E3BAB">
        <w:rPr>
          <w:sz w:val="28"/>
        </w:rPr>
        <w:t xml:space="preserve">  лише</w:t>
      </w:r>
      <w:r w:rsidR="006E3BAB" w:rsidRPr="00FE2370">
        <w:rPr>
          <w:sz w:val="28"/>
        </w:rPr>
        <w:t xml:space="preserve"> 115,7 млрд. дол. </w:t>
      </w:r>
      <w:r w:rsidR="006E3BAB">
        <w:rPr>
          <w:sz w:val="28"/>
        </w:rPr>
        <w:t>Тобто з</w:t>
      </w:r>
      <w:r w:rsidR="006E3BAB" w:rsidRPr="00FE2370">
        <w:rPr>
          <w:sz w:val="28"/>
        </w:rPr>
        <w:t> урахуванням динаміки валют</w:t>
      </w:r>
      <w:r w:rsidR="006E3BAB">
        <w:rPr>
          <w:sz w:val="28"/>
        </w:rPr>
        <w:t>ного курсу падіння ВВП лише за рік склало більш як на третину, на 35,6% [</w:t>
      </w:r>
      <w:r w:rsidR="006E3BAB" w:rsidRPr="003E5BAB">
        <w:rPr>
          <w:sz w:val="28"/>
          <w:lang w:val="ru-RU"/>
        </w:rPr>
        <w:t>3</w:t>
      </w:r>
      <w:r w:rsidR="006E3BAB">
        <w:rPr>
          <w:sz w:val="28"/>
        </w:rPr>
        <w:t>].</w:t>
      </w:r>
    </w:p>
    <w:p w:rsidR="006E3BAB" w:rsidRDefault="00C0122E" w:rsidP="006E3BAB">
      <w:pPr>
        <w:pStyle w:val="a5"/>
        <w:spacing w:before="0" w:beforeAutospacing="0" w:after="0" w:afterAutospacing="0" w:line="360" w:lineRule="auto"/>
        <w:ind w:firstLine="709"/>
        <w:jc w:val="both"/>
        <w:rPr>
          <w:sz w:val="28"/>
          <w:szCs w:val="28"/>
        </w:rPr>
      </w:pPr>
      <w:r>
        <w:rPr>
          <w:sz w:val="28"/>
          <w:szCs w:val="28"/>
        </w:rPr>
        <w:t>Про стан</w:t>
      </w:r>
      <w:r w:rsidR="006E3BAB">
        <w:rPr>
          <w:sz w:val="28"/>
          <w:szCs w:val="28"/>
        </w:rPr>
        <w:t xml:space="preserve"> економіки </w:t>
      </w:r>
      <w:r>
        <w:rPr>
          <w:sz w:val="28"/>
          <w:szCs w:val="28"/>
        </w:rPr>
        <w:t xml:space="preserve">об’єктивно </w:t>
      </w:r>
      <w:r w:rsidR="006E3BAB">
        <w:rPr>
          <w:sz w:val="28"/>
          <w:szCs w:val="28"/>
        </w:rPr>
        <w:t>свідчить і показник ВВП на одну особу. Так у 2009</w:t>
      </w:r>
      <w:r w:rsidR="006E3BAB" w:rsidRPr="006C52DA">
        <w:rPr>
          <w:sz w:val="28"/>
          <w:szCs w:val="28"/>
        </w:rPr>
        <w:t xml:space="preserve"> році </w:t>
      </w:r>
      <w:r w:rsidR="006E3BAB">
        <w:rPr>
          <w:sz w:val="28"/>
          <w:szCs w:val="28"/>
        </w:rPr>
        <w:t>в Україні він становив 5,8 тис. дол., а в 2008</w:t>
      </w:r>
      <w:r w:rsidR="006E3BAB" w:rsidRPr="006C52DA">
        <w:rPr>
          <w:sz w:val="28"/>
          <w:szCs w:val="28"/>
        </w:rPr>
        <w:t>-му</w:t>
      </w:r>
      <w:r w:rsidR="006E3BAB">
        <w:rPr>
          <w:sz w:val="28"/>
          <w:szCs w:val="28"/>
        </w:rPr>
        <w:t xml:space="preserve"> році - 6,8</w:t>
      </w:r>
      <w:r w:rsidR="006E3BAB" w:rsidRPr="006C52DA">
        <w:rPr>
          <w:sz w:val="28"/>
          <w:szCs w:val="28"/>
        </w:rPr>
        <w:t xml:space="preserve"> тис. </w:t>
      </w:r>
      <w:r w:rsidR="006E3BAB">
        <w:rPr>
          <w:sz w:val="28"/>
          <w:szCs w:val="28"/>
        </w:rPr>
        <w:t>дол. Для порівняння</w:t>
      </w:r>
      <w:r w:rsidR="006E3BAB" w:rsidRPr="006C52DA">
        <w:rPr>
          <w:sz w:val="28"/>
          <w:szCs w:val="28"/>
        </w:rPr>
        <w:t>: відповідний</w:t>
      </w:r>
      <w:r w:rsidR="006E3BAB">
        <w:rPr>
          <w:sz w:val="28"/>
          <w:szCs w:val="28"/>
        </w:rPr>
        <w:t xml:space="preserve"> показник у 2008р у Білорусі становив 11,4</w:t>
      </w:r>
      <w:r w:rsidR="006E3BAB" w:rsidRPr="006C52DA">
        <w:rPr>
          <w:sz w:val="28"/>
          <w:szCs w:val="28"/>
        </w:rPr>
        <w:t xml:space="preserve"> тис. дол., Казахстані</w:t>
      </w:r>
      <w:r w:rsidR="006E3BAB">
        <w:rPr>
          <w:sz w:val="28"/>
          <w:szCs w:val="28"/>
        </w:rPr>
        <w:t xml:space="preserve"> - 10,5</w:t>
      </w:r>
      <w:r w:rsidR="006E3BAB" w:rsidRPr="006C52DA">
        <w:rPr>
          <w:sz w:val="28"/>
          <w:szCs w:val="28"/>
        </w:rPr>
        <w:t xml:space="preserve"> тис.</w:t>
      </w:r>
      <w:r w:rsidR="006E3BAB">
        <w:rPr>
          <w:sz w:val="28"/>
          <w:szCs w:val="28"/>
        </w:rPr>
        <w:t xml:space="preserve"> дол., Росії - 14,8</w:t>
      </w:r>
      <w:r w:rsidR="006E3BAB" w:rsidRPr="006C52DA">
        <w:rPr>
          <w:sz w:val="28"/>
          <w:szCs w:val="28"/>
        </w:rPr>
        <w:t xml:space="preserve"> тис. дол</w:t>
      </w:r>
      <w:r w:rsidR="006E3BAB">
        <w:rPr>
          <w:sz w:val="28"/>
          <w:szCs w:val="28"/>
        </w:rPr>
        <w:t>. В</w:t>
      </w:r>
      <w:r w:rsidR="006E3BAB" w:rsidRPr="006C52DA">
        <w:rPr>
          <w:sz w:val="28"/>
          <w:szCs w:val="28"/>
        </w:rPr>
        <w:t> Пол</w:t>
      </w:r>
      <w:r w:rsidR="006E3BAB">
        <w:rPr>
          <w:sz w:val="28"/>
          <w:szCs w:val="28"/>
        </w:rPr>
        <w:t>ьщі ВВП на одну особу складає - 16,4</w:t>
      </w:r>
      <w:r w:rsidR="006E3BAB" w:rsidRPr="006C52DA">
        <w:rPr>
          <w:sz w:val="28"/>
          <w:szCs w:val="28"/>
        </w:rPr>
        <w:t xml:space="preserve"> тис. дол.,</w:t>
      </w:r>
      <w:r w:rsidR="006E3BAB">
        <w:rPr>
          <w:sz w:val="28"/>
          <w:szCs w:val="28"/>
        </w:rPr>
        <w:t xml:space="preserve"> не говорячи про високо розвинуті країни такі як США - 34 ти</w:t>
      </w:r>
      <w:r w:rsidR="008360A5">
        <w:rPr>
          <w:sz w:val="28"/>
          <w:szCs w:val="28"/>
        </w:rPr>
        <w:t>с. дол.,  Канада – 36 тис. дол</w:t>
      </w:r>
      <w:r w:rsidR="006E3BAB">
        <w:rPr>
          <w:sz w:val="28"/>
          <w:szCs w:val="28"/>
        </w:rPr>
        <w:t>.</w:t>
      </w:r>
      <w:r w:rsidR="006E3BAB" w:rsidRPr="006C52DA">
        <w:rPr>
          <w:sz w:val="28"/>
          <w:szCs w:val="28"/>
        </w:rPr>
        <w:t xml:space="preserve">. </w:t>
      </w:r>
      <w:r w:rsidR="006E3BAB">
        <w:rPr>
          <w:sz w:val="28"/>
          <w:szCs w:val="28"/>
        </w:rPr>
        <w:t xml:space="preserve">Нижче ніж в Україні цей показник є  хіба що у Молдові (2,8 тис. дол.), Грузії (4,5 тис. дол.), Таджикистані (1,6 тис. дол.) та Киргизстані (2,1 тис. дол.) </w:t>
      </w:r>
      <w:r w:rsidR="006E3BAB" w:rsidRPr="00573759">
        <w:rPr>
          <w:sz w:val="28"/>
          <w:szCs w:val="28"/>
          <w:lang w:val="ru-RU"/>
        </w:rPr>
        <w:t xml:space="preserve">[ </w:t>
      </w:r>
      <w:r w:rsidR="006E3BAB">
        <w:rPr>
          <w:sz w:val="28"/>
          <w:szCs w:val="28"/>
          <w:lang w:val="ru-RU"/>
        </w:rPr>
        <w:t>9</w:t>
      </w:r>
      <w:r w:rsidR="006E3BAB" w:rsidRPr="00573759">
        <w:rPr>
          <w:sz w:val="28"/>
          <w:szCs w:val="28"/>
          <w:lang w:val="ru-RU"/>
        </w:rPr>
        <w:t>]</w:t>
      </w:r>
      <w:r w:rsidR="006E3BAB">
        <w:rPr>
          <w:sz w:val="28"/>
          <w:szCs w:val="28"/>
        </w:rPr>
        <w:t>. Розмір ВВП на одну особу наведено в табл.2.</w:t>
      </w:r>
      <w:r w:rsidR="008360A5">
        <w:rPr>
          <w:sz w:val="28"/>
          <w:szCs w:val="28"/>
        </w:rPr>
        <w:t xml:space="preserve"> </w:t>
      </w:r>
      <w:r w:rsidR="006E3BAB" w:rsidRPr="006C52DA">
        <w:rPr>
          <w:sz w:val="28"/>
          <w:szCs w:val="28"/>
        </w:rPr>
        <w:t>Україна свого часу значно перевершувала за ек</w:t>
      </w:r>
      <w:r w:rsidR="006E3BAB">
        <w:rPr>
          <w:sz w:val="28"/>
          <w:szCs w:val="28"/>
        </w:rPr>
        <w:t>ономічними параметрами Румунію і</w:t>
      </w:r>
      <w:r w:rsidR="006E3BAB" w:rsidRPr="006C52DA">
        <w:rPr>
          <w:sz w:val="28"/>
          <w:szCs w:val="28"/>
        </w:rPr>
        <w:t> Болгарію. Нині у цих країнах пока</w:t>
      </w:r>
      <w:r w:rsidR="006E3BAB">
        <w:rPr>
          <w:sz w:val="28"/>
          <w:szCs w:val="28"/>
        </w:rPr>
        <w:t>зники ВВП на одну особу вдвічі-втричі вищі, ніж в Україні</w:t>
      </w:r>
      <w:r w:rsidR="006E3BAB" w:rsidRPr="006C52DA">
        <w:rPr>
          <w:sz w:val="28"/>
          <w:szCs w:val="28"/>
        </w:rPr>
        <w:t xml:space="preserve">. </w:t>
      </w:r>
      <w:r w:rsidR="006E3BAB">
        <w:rPr>
          <w:sz w:val="28"/>
          <w:szCs w:val="28"/>
        </w:rPr>
        <w:t xml:space="preserve"> </w:t>
      </w:r>
    </w:p>
    <w:p w:rsidR="006E3BAB" w:rsidRPr="00CA59BD" w:rsidRDefault="006E3BAB" w:rsidP="006E3BAB">
      <w:pPr>
        <w:autoSpaceDE w:val="0"/>
        <w:autoSpaceDN w:val="0"/>
        <w:adjustRightInd w:val="0"/>
        <w:spacing w:after="0" w:line="240" w:lineRule="auto"/>
        <w:ind w:firstLine="709"/>
        <w:jc w:val="right"/>
        <w:rPr>
          <w:rFonts w:ascii="Times New Roman" w:hAnsi="Times New Roman"/>
          <w:b/>
          <w:sz w:val="24"/>
          <w:szCs w:val="28"/>
        </w:rPr>
      </w:pPr>
      <w:r w:rsidRPr="00CA59BD">
        <w:rPr>
          <w:rFonts w:ascii="Times New Roman" w:hAnsi="Times New Roman"/>
          <w:b/>
          <w:sz w:val="24"/>
          <w:szCs w:val="28"/>
        </w:rPr>
        <w:lastRenderedPageBreak/>
        <w:t>Таблиця 2</w:t>
      </w:r>
    </w:p>
    <w:p w:rsidR="006E3BAB" w:rsidRPr="00CA59BD" w:rsidRDefault="006E3BAB" w:rsidP="006E3BAB">
      <w:pPr>
        <w:autoSpaceDE w:val="0"/>
        <w:autoSpaceDN w:val="0"/>
        <w:adjustRightInd w:val="0"/>
        <w:spacing w:after="0" w:line="240" w:lineRule="auto"/>
        <w:ind w:firstLine="709"/>
        <w:jc w:val="center"/>
        <w:rPr>
          <w:rFonts w:ascii="Times New Roman" w:hAnsi="Times New Roman"/>
          <w:b/>
          <w:sz w:val="24"/>
          <w:szCs w:val="28"/>
        </w:rPr>
      </w:pPr>
      <w:r w:rsidRPr="00CA59BD">
        <w:rPr>
          <w:rFonts w:ascii="Times New Roman" w:hAnsi="Times New Roman"/>
          <w:b/>
          <w:sz w:val="24"/>
          <w:szCs w:val="28"/>
        </w:rPr>
        <w:t xml:space="preserve">Динаміка ВВП на одну особу у деяких країнах світу </w:t>
      </w:r>
    </w:p>
    <w:p w:rsidR="006E3BAB" w:rsidRPr="00CA59BD" w:rsidRDefault="006E3BAB" w:rsidP="006E3BAB">
      <w:pPr>
        <w:autoSpaceDE w:val="0"/>
        <w:autoSpaceDN w:val="0"/>
        <w:adjustRightInd w:val="0"/>
        <w:spacing w:after="0" w:line="240" w:lineRule="auto"/>
        <w:ind w:firstLine="709"/>
        <w:jc w:val="center"/>
        <w:rPr>
          <w:rFonts w:ascii="Times New Roman" w:hAnsi="Times New Roman"/>
          <w:b/>
          <w:sz w:val="24"/>
          <w:szCs w:val="28"/>
        </w:rPr>
      </w:pPr>
      <w:r w:rsidRPr="00CA59BD">
        <w:rPr>
          <w:rFonts w:ascii="Times New Roman" w:hAnsi="Times New Roman"/>
          <w:b/>
          <w:sz w:val="24"/>
          <w:szCs w:val="28"/>
        </w:rPr>
        <w:t>у 2006-2009 роках</w:t>
      </w:r>
    </w:p>
    <w:p w:rsidR="006E3BAB" w:rsidRPr="00CA59BD" w:rsidRDefault="006E3BAB" w:rsidP="006E3BAB">
      <w:pPr>
        <w:autoSpaceDE w:val="0"/>
        <w:autoSpaceDN w:val="0"/>
        <w:adjustRightInd w:val="0"/>
        <w:spacing w:after="0" w:line="240" w:lineRule="auto"/>
        <w:ind w:firstLine="709"/>
        <w:jc w:val="right"/>
        <w:rPr>
          <w:rFonts w:ascii="Times New Roman" w:hAnsi="Times New Roman"/>
          <w:i/>
          <w:sz w:val="24"/>
          <w:szCs w:val="28"/>
        </w:rPr>
      </w:pPr>
      <w:r w:rsidRPr="00CA59BD">
        <w:rPr>
          <w:rFonts w:ascii="Times New Roman" w:hAnsi="Times New Roman"/>
          <w:i/>
          <w:sz w:val="24"/>
          <w:szCs w:val="28"/>
        </w:rPr>
        <w:t>(дол. США за ПКС 2005року)</w:t>
      </w:r>
    </w:p>
    <w:tbl>
      <w:tblPr>
        <w:tblW w:w="0" w:type="auto"/>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9"/>
        <w:gridCol w:w="1714"/>
        <w:gridCol w:w="1715"/>
        <w:gridCol w:w="1715"/>
        <w:gridCol w:w="1715"/>
      </w:tblGrid>
      <w:tr w:rsidR="006E3BAB" w:rsidRPr="000C713C" w:rsidTr="006C3F5C">
        <w:trPr>
          <w:jc w:val="center"/>
        </w:trPr>
        <w:tc>
          <w:tcPr>
            <w:tcW w:w="2629" w:type="dxa"/>
            <w:vMerge w:val="restart"/>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Країни</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2006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2007</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2008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2009</w:t>
            </w:r>
          </w:p>
        </w:tc>
      </w:tr>
      <w:tr w:rsidR="006E3BAB" w:rsidRPr="000C713C" w:rsidTr="006C3F5C">
        <w:trPr>
          <w:jc w:val="center"/>
        </w:trPr>
        <w:tc>
          <w:tcPr>
            <w:tcW w:w="2629" w:type="dxa"/>
            <w:vMerge/>
          </w:tcPr>
          <w:p w:rsidR="006E3BAB" w:rsidRPr="000C713C" w:rsidRDefault="006E3BAB" w:rsidP="006C3F5C">
            <w:pPr>
              <w:autoSpaceDE w:val="0"/>
              <w:autoSpaceDN w:val="0"/>
              <w:adjustRightInd w:val="0"/>
              <w:spacing w:after="0" w:line="240" w:lineRule="auto"/>
              <w:jc w:val="both"/>
              <w:rPr>
                <w:rFonts w:ascii="Times New Roman" w:hAnsi="Times New Roman"/>
                <w:b/>
                <w:i/>
                <w:sz w:val="24"/>
                <w:szCs w:val="28"/>
              </w:rPr>
            </w:pPr>
          </w:p>
        </w:tc>
        <w:tc>
          <w:tcPr>
            <w:tcW w:w="6859" w:type="dxa"/>
            <w:gridSpan w:val="4"/>
          </w:tcPr>
          <w:p w:rsidR="006E3BAB" w:rsidRPr="000C713C" w:rsidRDefault="006E3BAB" w:rsidP="006C3F5C">
            <w:pPr>
              <w:autoSpaceDE w:val="0"/>
              <w:autoSpaceDN w:val="0"/>
              <w:adjustRightInd w:val="0"/>
              <w:spacing w:after="0" w:line="240" w:lineRule="auto"/>
              <w:jc w:val="center"/>
              <w:rPr>
                <w:rFonts w:ascii="Times New Roman" w:hAnsi="Times New Roman"/>
                <w:b/>
                <w:i/>
                <w:sz w:val="24"/>
                <w:szCs w:val="28"/>
              </w:rPr>
            </w:pPr>
            <w:r w:rsidRPr="000C713C">
              <w:rPr>
                <w:rFonts w:ascii="Times New Roman" w:hAnsi="Times New Roman"/>
                <w:b/>
                <w:i/>
                <w:sz w:val="24"/>
                <w:szCs w:val="28"/>
              </w:rPr>
              <w:t>Роки</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Україна</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6058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6578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6766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5763</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 xml:space="preserve">Молдова </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2482</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2562</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2768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2592</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Таджикистан</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1476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1556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1643</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Росія</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12888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13963</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lang w:val="en-US"/>
              </w:rPr>
            </w:pPr>
            <w:r w:rsidRPr="000C713C">
              <w:rPr>
                <w:rFonts w:ascii="Times New Roman" w:hAnsi="Times New Roman"/>
                <w:sz w:val="24"/>
                <w:szCs w:val="28"/>
                <w:lang w:val="en-US"/>
              </w:rPr>
              <w:t>14762</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Білорусія</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9436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10278</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11356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 xml:space="preserve">Угорщина </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17652</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17850</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17997</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16886</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Болгарія</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9891</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10555</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11239</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10727</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Польща</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14655</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15656</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16440</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16707</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Канада</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35849</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36359</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36077</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34694</w:t>
            </w:r>
          </w:p>
        </w:tc>
      </w:tr>
      <w:tr w:rsidR="006E3BAB" w:rsidRPr="000C713C" w:rsidTr="006C3F5C">
        <w:trPr>
          <w:jc w:val="center"/>
        </w:trPr>
        <w:tc>
          <w:tcPr>
            <w:tcW w:w="2629" w:type="dxa"/>
          </w:tcPr>
          <w:p w:rsidR="006E3BAB" w:rsidRPr="000C713C" w:rsidRDefault="006E3BAB" w:rsidP="006C3F5C">
            <w:pPr>
              <w:autoSpaceDE w:val="0"/>
              <w:autoSpaceDN w:val="0"/>
              <w:adjustRightInd w:val="0"/>
              <w:spacing w:after="0" w:line="240" w:lineRule="auto"/>
              <w:jc w:val="both"/>
              <w:rPr>
                <w:rFonts w:ascii="Times New Roman" w:hAnsi="Times New Roman"/>
                <w:sz w:val="24"/>
                <w:szCs w:val="28"/>
              </w:rPr>
            </w:pPr>
            <w:r w:rsidRPr="000C713C">
              <w:rPr>
                <w:rFonts w:ascii="Times New Roman" w:hAnsi="Times New Roman"/>
                <w:sz w:val="24"/>
                <w:szCs w:val="28"/>
              </w:rPr>
              <w:t>США</w:t>
            </w:r>
          </w:p>
        </w:tc>
        <w:tc>
          <w:tcPr>
            <w:tcW w:w="1714"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33464</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34102</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34061</w:t>
            </w:r>
          </w:p>
        </w:tc>
        <w:tc>
          <w:tcPr>
            <w:tcW w:w="1715" w:type="dxa"/>
          </w:tcPr>
          <w:p w:rsidR="006E3BAB" w:rsidRPr="000C713C" w:rsidRDefault="006E3BAB" w:rsidP="006C3F5C">
            <w:pPr>
              <w:autoSpaceDE w:val="0"/>
              <w:autoSpaceDN w:val="0"/>
              <w:adjustRightInd w:val="0"/>
              <w:spacing w:after="0" w:line="240" w:lineRule="auto"/>
              <w:jc w:val="center"/>
              <w:rPr>
                <w:rFonts w:ascii="Times New Roman" w:hAnsi="Times New Roman"/>
                <w:sz w:val="24"/>
                <w:szCs w:val="28"/>
              </w:rPr>
            </w:pPr>
            <w:r w:rsidRPr="000C713C">
              <w:rPr>
                <w:rFonts w:ascii="Times New Roman" w:hAnsi="Times New Roman"/>
                <w:sz w:val="24"/>
                <w:szCs w:val="28"/>
              </w:rPr>
              <w:t>32184</w:t>
            </w:r>
          </w:p>
        </w:tc>
      </w:tr>
    </w:tbl>
    <w:p w:rsidR="006E3BAB" w:rsidRDefault="006E3BAB" w:rsidP="006E3BAB">
      <w:pPr>
        <w:autoSpaceDE w:val="0"/>
        <w:autoSpaceDN w:val="0"/>
        <w:adjustRightInd w:val="0"/>
        <w:spacing w:after="0" w:line="240" w:lineRule="auto"/>
        <w:ind w:firstLine="709"/>
        <w:jc w:val="both"/>
        <w:rPr>
          <w:rFonts w:ascii="Times New Roman" w:hAnsi="Times New Roman"/>
          <w:sz w:val="28"/>
          <w:szCs w:val="28"/>
        </w:rPr>
      </w:pPr>
    </w:p>
    <w:p w:rsidR="006E3BAB" w:rsidRPr="000B73DB" w:rsidRDefault="006E3BAB" w:rsidP="006E3BAB">
      <w:pPr>
        <w:autoSpaceDE w:val="0"/>
        <w:autoSpaceDN w:val="0"/>
        <w:adjustRightInd w:val="0"/>
        <w:spacing w:after="0" w:line="240" w:lineRule="auto"/>
        <w:ind w:firstLine="709"/>
        <w:jc w:val="both"/>
        <w:rPr>
          <w:rFonts w:ascii="Times New Roman" w:hAnsi="Times New Roman"/>
          <w:i/>
          <w:sz w:val="24"/>
          <w:szCs w:val="28"/>
          <w:lang w:val="ru-RU"/>
        </w:rPr>
      </w:pPr>
      <w:r w:rsidRPr="000B73DB">
        <w:rPr>
          <w:rFonts w:ascii="Times New Roman" w:hAnsi="Times New Roman"/>
          <w:i/>
          <w:sz w:val="24"/>
          <w:szCs w:val="28"/>
        </w:rPr>
        <w:t xml:space="preserve">Побудовано за даними </w:t>
      </w:r>
      <w:r w:rsidRPr="000B73DB">
        <w:rPr>
          <w:rFonts w:ascii="Times New Roman" w:hAnsi="Times New Roman"/>
          <w:i/>
          <w:sz w:val="24"/>
          <w:szCs w:val="28"/>
          <w:lang w:val="ru-RU"/>
        </w:rPr>
        <w:t>[</w:t>
      </w:r>
      <w:r w:rsidRPr="000B73DB">
        <w:rPr>
          <w:i/>
          <w:sz w:val="24"/>
          <w:szCs w:val="28"/>
          <w:lang w:val="ru-RU"/>
        </w:rPr>
        <w:t>9</w:t>
      </w:r>
      <w:r w:rsidRPr="000B73DB">
        <w:rPr>
          <w:rFonts w:ascii="Times New Roman" w:hAnsi="Times New Roman"/>
          <w:i/>
          <w:sz w:val="24"/>
          <w:szCs w:val="28"/>
          <w:lang w:val="ru-RU"/>
        </w:rPr>
        <w:t>].</w:t>
      </w:r>
    </w:p>
    <w:p w:rsidR="006E3BAB" w:rsidRDefault="006E3BAB" w:rsidP="006E3BAB">
      <w:pPr>
        <w:pStyle w:val="a5"/>
        <w:spacing w:before="0" w:beforeAutospacing="0" w:after="0" w:afterAutospacing="0" w:line="360" w:lineRule="auto"/>
        <w:ind w:firstLine="709"/>
        <w:jc w:val="both"/>
        <w:rPr>
          <w:sz w:val="28"/>
          <w:szCs w:val="28"/>
        </w:rPr>
      </w:pPr>
      <w:r>
        <w:rPr>
          <w:sz w:val="28"/>
          <w:szCs w:val="28"/>
        </w:rPr>
        <w:t xml:space="preserve">Саме це свідчить про </w:t>
      </w:r>
      <w:r w:rsidRPr="006C52DA">
        <w:rPr>
          <w:sz w:val="28"/>
          <w:szCs w:val="28"/>
        </w:rPr>
        <w:t>те, що Україна виявилася найслабкішою ланкою в є</w:t>
      </w:r>
      <w:r>
        <w:rPr>
          <w:sz w:val="28"/>
          <w:szCs w:val="28"/>
        </w:rPr>
        <w:t>вропейській економіці</w:t>
      </w:r>
      <w:r w:rsidRPr="006C52DA">
        <w:rPr>
          <w:sz w:val="28"/>
          <w:szCs w:val="28"/>
        </w:rPr>
        <w:t>.</w:t>
      </w:r>
      <w:r>
        <w:rPr>
          <w:sz w:val="28"/>
          <w:szCs w:val="28"/>
        </w:rPr>
        <w:t xml:space="preserve"> За розрахунками</w:t>
      </w:r>
      <w:r w:rsidRPr="006C52DA">
        <w:rPr>
          <w:sz w:val="28"/>
          <w:szCs w:val="28"/>
        </w:rPr>
        <w:t xml:space="preserve"> МВФ, Україна зможе перевершити до кризовий (2008 р.) рівень ВВП лише </w:t>
      </w:r>
      <w:r>
        <w:rPr>
          <w:sz w:val="28"/>
          <w:szCs w:val="28"/>
        </w:rPr>
        <w:t>у 2014 році</w:t>
      </w:r>
      <w:r w:rsidRPr="006C52DA">
        <w:rPr>
          <w:sz w:val="28"/>
          <w:szCs w:val="28"/>
        </w:rPr>
        <w:t>.</w:t>
      </w:r>
    </w:p>
    <w:p w:rsidR="008360A5" w:rsidRDefault="006E3BAB" w:rsidP="008360A5">
      <w:pPr>
        <w:autoSpaceDE w:val="0"/>
        <w:autoSpaceDN w:val="0"/>
        <w:adjustRightInd w:val="0"/>
        <w:spacing w:after="0" w:line="360" w:lineRule="auto"/>
        <w:ind w:firstLine="709"/>
        <w:jc w:val="both"/>
        <w:rPr>
          <w:rFonts w:ascii="Times New Roman" w:hAnsi="Times New Roman"/>
          <w:sz w:val="28"/>
          <w:szCs w:val="24"/>
          <w:lang w:eastAsia="uk-UA"/>
        </w:rPr>
      </w:pPr>
      <w:r>
        <w:rPr>
          <w:rFonts w:ascii="Times New Roman" w:hAnsi="Times New Roman"/>
          <w:sz w:val="28"/>
          <w:szCs w:val="28"/>
        </w:rPr>
        <w:t xml:space="preserve">Вирішити проблему бюджетних надходжень (зменшення дефіциту бюджету, збільшення валютних надходжень та експорту) повинні </w:t>
      </w:r>
      <w:r w:rsidR="008360A5">
        <w:rPr>
          <w:rFonts w:ascii="Times New Roman" w:hAnsi="Times New Roman"/>
          <w:sz w:val="28"/>
          <w:szCs w:val="28"/>
        </w:rPr>
        <w:t xml:space="preserve">традиційні </w:t>
      </w:r>
      <w:r>
        <w:rPr>
          <w:rFonts w:ascii="Times New Roman" w:hAnsi="Times New Roman"/>
          <w:sz w:val="28"/>
          <w:szCs w:val="28"/>
        </w:rPr>
        <w:t xml:space="preserve">бюджетоутворюючі галузі економіки </w:t>
      </w:r>
      <w:r w:rsidR="008360A5">
        <w:rPr>
          <w:rFonts w:ascii="Times New Roman" w:hAnsi="Times New Roman"/>
          <w:sz w:val="28"/>
          <w:szCs w:val="28"/>
        </w:rPr>
        <w:t>(</w:t>
      </w:r>
      <w:r>
        <w:rPr>
          <w:rFonts w:ascii="Times New Roman" w:hAnsi="Times New Roman"/>
          <w:sz w:val="28"/>
          <w:szCs w:val="24"/>
          <w:lang w:eastAsia="uk-UA"/>
        </w:rPr>
        <w:t>металургія, машинобудування, хімічна</w:t>
      </w:r>
      <w:r w:rsidRPr="00DE3330">
        <w:rPr>
          <w:rFonts w:ascii="Times New Roman" w:hAnsi="Times New Roman"/>
          <w:sz w:val="28"/>
          <w:szCs w:val="24"/>
          <w:lang w:eastAsia="uk-UA"/>
        </w:rPr>
        <w:t xml:space="preserve"> </w:t>
      </w:r>
      <w:r>
        <w:rPr>
          <w:rFonts w:ascii="Times New Roman" w:hAnsi="Times New Roman"/>
          <w:sz w:val="28"/>
          <w:szCs w:val="24"/>
          <w:lang w:eastAsia="uk-UA"/>
        </w:rPr>
        <w:t xml:space="preserve">та нафтохімічна </w:t>
      </w:r>
      <w:r w:rsidRPr="00DE3330">
        <w:rPr>
          <w:rFonts w:ascii="Times New Roman" w:hAnsi="Times New Roman"/>
          <w:sz w:val="28"/>
          <w:szCs w:val="24"/>
          <w:lang w:eastAsia="uk-UA"/>
        </w:rPr>
        <w:t>промисловості</w:t>
      </w:r>
      <w:r w:rsidR="008360A5">
        <w:rPr>
          <w:rFonts w:ascii="Times New Roman" w:hAnsi="Times New Roman"/>
          <w:sz w:val="28"/>
          <w:szCs w:val="24"/>
          <w:lang w:eastAsia="uk-UA"/>
        </w:rPr>
        <w:t>)</w:t>
      </w:r>
      <w:r>
        <w:rPr>
          <w:rFonts w:ascii="Times New Roman" w:hAnsi="Times New Roman"/>
          <w:sz w:val="24"/>
          <w:szCs w:val="24"/>
          <w:lang w:eastAsia="uk-UA"/>
        </w:rPr>
        <w:t xml:space="preserve">, </w:t>
      </w:r>
      <w:r w:rsidRPr="0068305B">
        <w:rPr>
          <w:rFonts w:ascii="Times New Roman" w:hAnsi="Times New Roman"/>
          <w:sz w:val="28"/>
          <w:szCs w:val="24"/>
          <w:lang w:eastAsia="uk-UA"/>
        </w:rPr>
        <w:t xml:space="preserve">які разом формують майже 50% експортної виручки України. </w:t>
      </w:r>
      <w:r>
        <w:rPr>
          <w:rFonts w:ascii="Times New Roman" w:hAnsi="Times New Roman"/>
          <w:sz w:val="28"/>
          <w:szCs w:val="24"/>
          <w:lang w:eastAsia="uk-UA"/>
        </w:rPr>
        <w:t>Зменшення виробництва у цих галузях</w:t>
      </w:r>
      <w:r>
        <w:rPr>
          <w:rFonts w:ascii="Times New Roman" w:hAnsi="Times New Roman"/>
          <w:sz w:val="24"/>
          <w:szCs w:val="24"/>
          <w:lang w:eastAsia="uk-UA"/>
        </w:rPr>
        <w:t xml:space="preserve"> </w:t>
      </w:r>
      <w:r w:rsidRPr="0068305B">
        <w:rPr>
          <w:rFonts w:ascii="Times New Roman" w:hAnsi="Times New Roman"/>
          <w:sz w:val="28"/>
          <w:szCs w:val="24"/>
          <w:lang w:eastAsia="uk-UA"/>
        </w:rPr>
        <w:t xml:space="preserve">значно скоротили і податкові платежі до бюджетів усіх рівнів, деякі з них повністю залежать від цих надходжень. </w:t>
      </w:r>
      <w:r>
        <w:rPr>
          <w:rFonts w:ascii="Times New Roman" w:hAnsi="Times New Roman"/>
          <w:sz w:val="28"/>
          <w:szCs w:val="24"/>
          <w:lang w:eastAsia="uk-UA"/>
        </w:rPr>
        <w:t>Окрім цього, сповільнення темпів виробництва у цих галузях спричинило скорочення персоналу та поповнення армії безробітних. Ди</w:t>
      </w:r>
      <w:r w:rsidR="008360A5">
        <w:rPr>
          <w:rFonts w:ascii="Times New Roman" w:hAnsi="Times New Roman"/>
          <w:sz w:val="28"/>
          <w:szCs w:val="24"/>
          <w:lang w:eastAsia="uk-UA"/>
        </w:rPr>
        <w:t>наміка індексів виробництва ц</w:t>
      </w:r>
      <w:r>
        <w:rPr>
          <w:rFonts w:ascii="Times New Roman" w:hAnsi="Times New Roman"/>
          <w:sz w:val="28"/>
          <w:szCs w:val="24"/>
          <w:lang w:eastAsia="uk-UA"/>
        </w:rPr>
        <w:t>их галузей промисловості представлена на рис. 2.</w:t>
      </w:r>
      <w:r w:rsidR="008360A5">
        <w:rPr>
          <w:rFonts w:ascii="Times New Roman" w:hAnsi="Times New Roman"/>
          <w:sz w:val="28"/>
          <w:szCs w:val="24"/>
          <w:lang w:eastAsia="uk-UA"/>
        </w:rPr>
        <w:t xml:space="preserve"> </w:t>
      </w:r>
    </w:p>
    <w:p w:rsidR="008360A5" w:rsidRDefault="008360A5" w:rsidP="008360A5">
      <w:pPr>
        <w:autoSpaceDE w:val="0"/>
        <w:autoSpaceDN w:val="0"/>
        <w:adjustRightInd w:val="0"/>
        <w:spacing w:after="0" w:line="360" w:lineRule="auto"/>
        <w:ind w:firstLine="709"/>
        <w:jc w:val="both"/>
        <w:rPr>
          <w:rFonts w:ascii="Times New Roman" w:hAnsi="Times New Roman"/>
          <w:sz w:val="28"/>
          <w:szCs w:val="24"/>
          <w:lang w:eastAsia="uk-UA"/>
        </w:rPr>
      </w:pPr>
      <w:r>
        <w:rPr>
          <w:rFonts w:ascii="Times New Roman" w:hAnsi="Times New Roman"/>
          <w:sz w:val="28"/>
          <w:szCs w:val="24"/>
          <w:lang w:eastAsia="uk-UA"/>
        </w:rPr>
        <w:t>Якщо проаналізувати промислове виробництво основних галузей в натуральних одиницях, то у 2009 році порівняно з 2008 роком воно зменшилось за деякими видами продукції у двічі-тричі (наприклад: трактори з 6,3 тис. шт. у 2008 р. до 1,4 тис. шт. у 2009 р., сівалки з 9,9 тис. шт. до 2,5 тис. шт., чавун з 31,0 до 25,7</w:t>
      </w:r>
      <w:r w:rsidRPr="00E975E4">
        <w:rPr>
          <w:rFonts w:ascii="Times New Roman" w:hAnsi="Times New Roman"/>
          <w:sz w:val="28"/>
          <w:szCs w:val="24"/>
          <w:lang w:eastAsia="uk-UA"/>
        </w:rPr>
        <w:t xml:space="preserve"> </w:t>
      </w:r>
      <w:r>
        <w:rPr>
          <w:rFonts w:ascii="Times New Roman" w:hAnsi="Times New Roman"/>
          <w:sz w:val="28"/>
          <w:szCs w:val="24"/>
          <w:lang w:eastAsia="uk-UA"/>
        </w:rPr>
        <w:t xml:space="preserve">млн. т., сталь з 23,3 до 15,7 млн. т., кислота сірчана з 1479 до 890 тис. т. відповідно). </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4"/>
          <w:lang w:eastAsia="uk-UA"/>
        </w:rPr>
      </w:pPr>
    </w:p>
    <w:p w:rsidR="006E3BAB" w:rsidRDefault="006E3BAB" w:rsidP="006E3BAB">
      <w:pPr>
        <w:jc w:val="center"/>
        <w:rPr>
          <w:rFonts w:ascii="Times New Roman" w:hAnsi="Times New Roman"/>
          <w:sz w:val="28"/>
          <w:szCs w:val="24"/>
          <w:lang w:eastAsia="uk-UA"/>
        </w:rPr>
      </w:pPr>
      <w:r>
        <w:rPr>
          <w:noProof/>
          <w:lang w:eastAsia="uk-UA"/>
        </w:rPr>
        <w:lastRenderedPageBreak/>
        <w:drawing>
          <wp:inline distT="0" distB="0" distL="0" distR="0">
            <wp:extent cx="5981700" cy="3419475"/>
            <wp:effectExtent l="0" t="0" r="0" b="0"/>
            <wp:docPr id="2" name="Об'є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BAB" w:rsidRPr="006E3BAB" w:rsidRDefault="006E3BAB" w:rsidP="006E3BAB">
      <w:pPr>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rPr>
        <w:t>Рис. 2. Динаміка індексів промислової продукції за 2006-2009 роки.</w:t>
      </w:r>
    </w:p>
    <w:p w:rsidR="006E3BAB" w:rsidRPr="000B73DB" w:rsidRDefault="006E3BAB" w:rsidP="006E3BAB">
      <w:pPr>
        <w:autoSpaceDE w:val="0"/>
        <w:autoSpaceDN w:val="0"/>
        <w:adjustRightInd w:val="0"/>
        <w:spacing w:after="0" w:line="360" w:lineRule="auto"/>
        <w:ind w:firstLine="709"/>
        <w:rPr>
          <w:rFonts w:ascii="Times New Roman" w:hAnsi="Times New Roman"/>
          <w:i/>
          <w:sz w:val="24"/>
          <w:szCs w:val="28"/>
        </w:rPr>
      </w:pPr>
      <w:r w:rsidRPr="006E3BAB">
        <w:rPr>
          <w:rFonts w:ascii="Times New Roman" w:hAnsi="Times New Roman"/>
          <w:i/>
          <w:sz w:val="24"/>
          <w:szCs w:val="28"/>
          <w:lang w:val="ru-RU"/>
        </w:rPr>
        <w:t xml:space="preserve">Побудовано </w:t>
      </w:r>
      <w:r w:rsidRPr="000B73DB">
        <w:rPr>
          <w:rFonts w:ascii="Times New Roman" w:hAnsi="Times New Roman"/>
          <w:i/>
          <w:sz w:val="24"/>
          <w:szCs w:val="28"/>
        </w:rPr>
        <w:t>за даними [</w:t>
      </w:r>
      <w:r w:rsidRPr="006E3BAB">
        <w:rPr>
          <w:rFonts w:ascii="Times New Roman" w:hAnsi="Times New Roman"/>
          <w:i/>
          <w:sz w:val="24"/>
          <w:szCs w:val="28"/>
          <w:lang w:val="ru-RU"/>
        </w:rPr>
        <w:t>9</w:t>
      </w:r>
      <w:r w:rsidRPr="000B73DB">
        <w:rPr>
          <w:rFonts w:ascii="Times New Roman" w:hAnsi="Times New Roman"/>
          <w:i/>
          <w:sz w:val="24"/>
          <w:szCs w:val="28"/>
        </w:rPr>
        <w:t>]</w:t>
      </w:r>
      <w:r w:rsidRPr="006E3BAB">
        <w:rPr>
          <w:rFonts w:ascii="Times New Roman" w:hAnsi="Times New Roman"/>
          <w:i/>
          <w:sz w:val="24"/>
          <w:szCs w:val="28"/>
          <w:lang w:val="ru-RU"/>
        </w:rPr>
        <w:t>.</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8"/>
        </w:rPr>
      </w:pPr>
      <w:r w:rsidRPr="007C135C">
        <w:rPr>
          <w:rFonts w:ascii="Times New Roman" w:hAnsi="Times New Roman"/>
          <w:sz w:val="28"/>
          <w:szCs w:val="28"/>
        </w:rPr>
        <w:t xml:space="preserve">За </w:t>
      </w:r>
      <w:r>
        <w:rPr>
          <w:rFonts w:ascii="Times New Roman" w:hAnsi="Times New Roman"/>
          <w:sz w:val="28"/>
          <w:szCs w:val="28"/>
        </w:rPr>
        <w:t xml:space="preserve">попередніми </w:t>
      </w:r>
      <w:r w:rsidRPr="007C135C">
        <w:rPr>
          <w:rFonts w:ascii="Times New Roman" w:hAnsi="Times New Roman"/>
          <w:sz w:val="28"/>
          <w:szCs w:val="28"/>
        </w:rPr>
        <w:t>даними Держкомстату Україн</w:t>
      </w:r>
      <w:r>
        <w:rPr>
          <w:rFonts w:ascii="Times New Roman" w:hAnsi="Times New Roman"/>
          <w:sz w:val="28"/>
          <w:szCs w:val="28"/>
        </w:rPr>
        <w:t xml:space="preserve">и  промислове виробництво у 2010 </w:t>
      </w:r>
      <w:r w:rsidRPr="007C135C">
        <w:rPr>
          <w:rFonts w:ascii="Times New Roman" w:hAnsi="Times New Roman"/>
          <w:sz w:val="28"/>
          <w:szCs w:val="28"/>
        </w:rPr>
        <w:t>році порівняно з  2009 роком зросло на 11% (у 2009р. зменшилось на 21,9%), в металургії на 12,3% (у 2009р. зменшилось на 26,7%), машинобудуванні - 34,5%</w:t>
      </w:r>
      <w:r>
        <w:rPr>
          <w:rFonts w:ascii="Times New Roman" w:hAnsi="Times New Roman"/>
          <w:sz w:val="28"/>
          <w:szCs w:val="28"/>
        </w:rPr>
        <w:t xml:space="preserve"> </w:t>
      </w:r>
      <w:r w:rsidRPr="007C135C">
        <w:rPr>
          <w:rFonts w:ascii="Times New Roman" w:hAnsi="Times New Roman"/>
          <w:sz w:val="28"/>
          <w:szCs w:val="28"/>
        </w:rPr>
        <w:t>(у 2009р. зменшилось на 44,9%) та всієї переробної промисловості – на 13,5% (у 2009р. зменшилось на 26,5%)</w:t>
      </w:r>
      <w:r w:rsidRPr="00327A50">
        <w:rPr>
          <w:rFonts w:ascii="Times New Roman" w:hAnsi="Times New Roman"/>
          <w:sz w:val="28"/>
          <w:szCs w:val="28"/>
          <w:lang w:val="ru-RU"/>
        </w:rPr>
        <w:t xml:space="preserve"> [9]</w:t>
      </w:r>
      <w:r w:rsidRPr="007C135C">
        <w:rPr>
          <w:rFonts w:ascii="Times New Roman" w:hAnsi="Times New Roman"/>
          <w:sz w:val="28"/>
          <w:szCs w:val="28"/>
        </w:rPr>
        <w:t>.</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4"/>
          <w:lang w:eastAsia="uk-UA"/>
        </w:rPr>
      </w:pPr>
      <w:r>
        <w:rPr>
          <w:rFonts w:ascii="Times New Roman" w:hAnsi="Times New Roman"/>
          <w:sz w:val="28"/>
          <w:szCs w:val="24"/>
          <w:lang w:eastAsia="uk-UA"/>
        </w:rPr>
        <w:t>Найбільш вражаючим є падіння обсягів будівельних робіт. У 2009 році індекс обсягу виконаних будівельних робіт склав лише 51,8% 2008 року.</w:t>
      </w:r>
      <w:r w:rsidRPr="00B13CD9">
        <w:rPr>
          <w:rFonts w:ascii="Times New Roman" w:hAnsi="Times New Roman"/>
          <w:color w:val="FF0000"/>
          <w:sz w:val="28"/>
          <w:szCs w:val="24"/>
          <w:lang w:eastAsia="uk-UA"/>
        </w:rPr>
        <w:t xml:space="preserve"> </w:t>
      </w:r>
      <w:r w:rsidRPr="00B13CD9">
        <w:rPr>
          <w:rFonts w:ascii="Times New Roman" w:hAnsi="Times New Roman"/>
          <w:sz w:val="28"/>
          <w:szCs w:val="24"/>
          <w:lang w:eastAsia="uk-UA"/>
        </w:rPr>
        <w:t>У будівельній галузі у 2</w:t>
      </w:r>
      <w:r>
        <w:rPr>
          <w:rFonts w:ascii="Times New Roman" w:hAnsi="Times New Roman"/>
          <w:sz w:val="28"/>
          <w:szCs w:val="24"/>
          <w:lang w:eastAsia="uk-UA"/>
        </w:rPr>
        <w:t>010 році обсяг робіт виконано</w:t>
      </w:r>
      <w:r w:rsidRPr="00B13CD9">
        <w:rPr>
          <w:rFonts w:ascii="Times New Roman" w:hAnsi="Times New Roman"/>
          <w:sz w:val="28"/>
          <w:szCs w:val="24"/>
          <w:lang w:eastAsia="uk-UA"/>
        </w:rPr>
        <w:t xml:space="preserve"> лише на 94,6% 2009 року.</w:t>
      </w:r>
    </w:p>
    <w:p w:rsidR="006E3BAB" w:rsidRPr="007C135C" w:rsidRDefault="006E3BAB" w:rsidP="006E3BAB">
      <w:pPr>
        <w:autoSpaceDE w:val="0"/>
        <w:autoSpaceDN w:val="0"/>
        <w:adjustRightInd w:val="0"/>
        <w:spacing w:after="0" w:line="360" w:lineRule="auto"/>
        <w:ind w:firstLine="709"/>
        <w:jc w:val="both"/>
        <w:rPr>
          <w:rFonts w:ascii="Times New Roman" w:hAnsi="Times New Roman"/>
          <w:sz w:val="28"/>
          <w:szCs w:val="28"/>
        </w:rPr>
      </w:pPr>
      <w:r w:rsidRPr="007C135C">
        <w:rPr>
          <w:rFonts w:ascii="Times New Roman" w:hAnsi="Times New Roman"/>
          <w:sz w:val="28"/>
          <w:szCs w:val="28"/>
        </w:rPr>
        <w:t>Оскільки саме металургію традиційно вважають локомотивом економіки України, то ці показники свідчать про підйом у відповідних галузях.</w:t>
      </w:r>
      <w:r>
        <w:rPr>
          <w:rFonts w:ascii="Times New Roman" w:hAnsi="Times New Roman"/>
          <w:sz w:val="28"/>
          <w:szCs w:val="28"/>
        </w:rPr>
        <w:t xml:space="preserve"> </w:t>
      </w:r>
      <w:r w:rsidRPr="007C135C">
        <w:rPr>
          <w:rFonts w:ascii="Times New Roman" w:hAnsi="Times New Roman"/>
          <w:sz w:val="28"/>
          <w:szCs w:val="28"/>
        </w:rPr>
        <w:t>Проте, якщо порівняти виробництво у кількісному вимірі, то зростання не є значним.</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8"/>
        </w:rPr>
      </w:pPr>
      <w:r w:rsidRPr="007C135C">
        <w:rPr>
          <w:rFonts w:ascii="Times New Roman" w:hAnsi="Times New Roman"/>
          <w:sz w:val="28"/>
          <w:szCs w:val="28"/>
        </w:rPr>
        <w:t xml:space="preserve">Велика залежність вітчизняної металургії  від попиту на світових ринках та останні події, що відбуваються  у світі не дають великого оптимізму на подальше нарощування темпів виробництва у цій галузі. Крім цього, як відомо, металургія є однією із найбільш енергоємних галузей економіки, а зростання </w:t>
      </w:r>
      <w:r w:rsidRPr="007C135C">
        <w:rPr>
          <w:rFonts w:ascii="Times New Roman" w:hAnsi="Times New Roman"/>
          <w:sz w:val="28"/>
          <w:szCs w:val="28"/>
        </w:rPr>
        <w:lastRenderedPageBreak/>
        <w:t>цін на нафту здорож</w:t>
      </w:r>
      <w:r>
        <w:rPr>
          <w:rFonts w:ascii="Times New Roman" w:hAnsi="Times New Roman"/>
          <w:sz w:val="28"/>
          <w:szCs w:val="28"/>
        </w:rPr>
        <w:t>у</w:t>
      </w:r>
      <w:r w:rsidRPr="007C135C">
        <w:rPr>
          <w:rFonts w:ascii="Times New Roman" w:hAnsi="Times New Roman"/>
          <w:sz w:val="28"/>
          <w:szCs w:val="28"/>
        </w:rPr>
        <w:t>ватиме її продукцію</w:t>
      </w:r>
      <w:r>
        <w:rPr>
          <w:rFonts w:ascii="Times New Roman" w:hAnsi="Times New Roman"/>
          <w:sz w:val="28"/>
          <w:szCs w:val="28"/>
        </w:rPr>
        <w:t xml:space="preserve">, а відповідно </w:t>
      </w:r>
      <w:r w:rsidRPr="007C135C">
        <w:rPr>
          <w:rFonts w:ascii="Times New Roman" w:hAnsi="Times New Roman"/>
          <w:sz w:val="28"/>
          <w:szCs w:val="28"/>
        </w:rPr>
        <w:t xml:space="preserve">зменшить </w:t>
      </w:r>
      <w:r>
        <w:rPr>
          <w:rFonts w:ascii="Times New Roman" w:hAnsi="Times New Roman"/>
          <w:sz w:val="28"/>
          <w:szCs w:val="28"/>
        </w:rPr>
        <w:t xml:space="preserve">її </w:t>
      </w:r>
      <w:r w:rsidRPr="007C135C">
        <w:rPr>
          <w:rFonts w:ascii="Times New Roman" w:hAnsi="Times New Roman"/>
          <w:sz w:val="28"/>
          <w:szCs w:val="28"/>
        </w:rPr>
        <w:t>конкурентоспроможність</w:t>
      </w:r>
      <w:r>
        <w:rPr>
          <w:rFonts w:ascii="Times New Roman" w:hAnsi="Times New Roman"/>
          <w:sz w:val="28"/>
          <w:szCs w:val="28"/>
        </w:rPr>
        <w:t xml:space="preserve">. </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 даними НЕК «Укренерго»</w:t>
      </w:r>
      <w:r w:rsidRPr="007C135C">
        <w:rPr>
          <w:rFonts w:ascii="Times New Roman" w:hAnsi="Times New Roman"/>
          <w:sz w:val="28"/>
          <w:szCs w:val="28"/>
        </w:rPr>
        <w:t xml:space="preserve"> </w:t>
      </w:r>
      <w:r>
        <w:rPr>
          <w:rFonts w:ascii="Times New Roman" w:hAnsi="Times New Roman"/>
          <w:sz w:val="28"/>
          <w:szCs w:val="28"/>
        </w:rPr>
        <w:t>у 2009 році промисловими підприємствами спожито 47,6% електроенергії (у 2008 р. - 52,1%), у т.ч. металургійними підприємствам – 25,1%, машинобудування – 3,7% (у 2008р. відповідно – 27,5% та 2008р.- 4,7%) [</w:t>
      </w:r>
      <w:r w:rsidRPr="00327A50">
        <w:rPr>
          <w:rFonts w:ascii="Times New Roman" w:hAnsi="Times New Roman"/>
          <w:sz w:val="28"/>
          <w:szCs w:val="28"/>
          <w:lang w:val="ru-RU"/>
        </w:rPr>
        <w:t>11</w:t>
      </w:r>
      <w:r>
        <w:rPr>
          <w:rFonts w:ascii="Times New Roman" w:hAnsi="Times New Roman"/>
          <w:sz w:val="28"/>
          <w:szCs w:val="28"/>
        </w:rPr>
        <w:t xml:space="preserve">]. </w:t>
      </w:r>
    </w:p>
    <w:p w:rsidR="006E3BAB" w:rsidRPr="00327A50" w:rsidRDefault="006E3BAB" w:rsidP="006E3BAB">
      <w:pPr>
        <w:autoSpaceDE w:val="0"/>
        <w:autoSpaceDN w:val="0"/>
        <w:adjustRightInd w:val="0"/>
        <w:spacing w:after="0" w:line="360" w:lineRule="auto"/>
        <w:ind w:firstLine="709"/>
        <w:jc w:val="both"/>
        <w:rPr>
          <w:rFonts w:ascii="Times New Roman" w:hAnsi="Times New Roman"/>
          <w:color w:val="000000" w:themeColor="text1"/>
          <w:sz w:val="28"/>
          <w:szCs w:val="28"/>
        </w:rPr>
      </w:pPr>
      <w:r w:rsidRPr="00D25233">
        <w:rPr>
          <w:rFonts w:ascii="Times New Roman" w:hAnsi="Times New Roman"/>
          <w:sz w:val="28"/>
          <w:szCs w:val="28"/>
        </w:rPr>
        <w:t xml:space="preserve">Дебіторська заборгованість за спожиту електроенергію </w:t>
      </w:r>
      <w:r w:rsidRPr="00D25233">
        <w:rPr>
          <w:rFonts w:ascii="Times New Roman" w:hAnsi="Times New Roman"/>
          <w:color w:val="000000"/>
          <w:sz w:val="28"/>
          <w:szCs w:val="28"/>
        </w:rPr>
        <w:t>хімічної та металургійної промисловості на кінець травня 2010 року становила 7,4%</w:t>
      </w:r>
      <w:r>
        <w:rPr>
          <w:rFonts w:ascii="Times New Roman" w:hAnsi="Times New Roman"/>
          <w:color w:val="000000"/>
          <w:sz w:val="28"/>
          <w:szCs w:val="28"/>
        </w:rPr>
        <w:t xml:space="preserve"> від загального обсягу спожитої електроенергії [</w:t>
      </w:r>
      <w:r>
        <w:rPr>
          <w:rFonts w:ascii="Times New Roman" w:hAnsi="Times New Roman"/>
          <w:color w:val="000000"/>
          <w:sz w:val="28"/>
          <w:szCs w:val="28"/>
          <w:lang w:val="ru-RU"/>
        </w:rPr>
        <w:t>1</w:t>
      </w:r>
      <w:r w:rsidRPr="00327A50">
        <w:rPr>
          <w:rFonts w:ascii="Times New Roman" w:hAnsi="Times New Roman"/>
          <w:color w:val="000000"/>
          <w:sz w:val="28"/>
          <w:szCs w:val="28"/>
          <w:lang w:val="ru-RU"/>
        </w:rPr>
        <w:t>0</w:t>
      </w:r>
      <w:r>
        <w:rPr>
          <w:rFonts w:ascii="Times New Roman" w:hAnsi="Times New Roman"/>
          <w:color w:val="000000"/>
          <w:sz w:val="28"/>
          <w:szCs w:val="28"/>
        </w:rPr>
        <w:t>]</w:t>
      </w:r>
      <w:r>
        <w:rPr>
          <w:rFonts w:ascii="Times New Roman" w:hAnsi="Times New Roman"/>
          <w:color w:val="000000" w:themeColor="text1"/>
          <w:sz w:val="28"/>
          <w:szCs w:val="28"/>
        </w:rPr>
        <w:t>.</w:t>
      </w:r>
    </w:p>
    <w:p w:rsidR="006E3BAB" w:rsidRPr="00845A05" w:rsidRDefault="00AD2410" w:rsidP="006E3BAB">
      <w:pPr>
        <w:autoSpaceDE w:val="0"/>
        <w:autoSpaceDN w:val="0"/>
        <w:adjustRightInd w:val="0"/>
        <w:spacing w:after="0" w:line="360" w:lineRule="auto"/>
        <w:ind w:firstLine="360"/>
        <w:jc w:val="both"/>
        <w:rPr>
          <w:rFonts w:ascii="Times New Roman" w:hAnsi="Times New Roman"/>
          <w:sz w:val="28"/>
          <w:szCs w:val="24"/>
          <w:lang w:eastAsia="uk-UA"/>
        </w:rPr>
      </w:pPr>
      <w:r w:rsidRPr="00FC3325">
        <w:rPr>
          <w:rFonts w:ascii="Times New Roman" w:hAnsi="Times New Roman"/>
          <w:sz w:val="28"/>
          <w:szCs w:val="24"/>
          <w:lang w:val="ru-RU" w:eastAsia="uk-UA"/>
        </w:rPr>
        <w:tab/>
      </w:r>
      <w:r w:rsidR="006E3BAB">
        <w:rPr>
          <w:rFonts w:ascii="Times New Roman" w:hAnsi="Times New Roman"/>
          <w:sz w:val="28"/>
          <w:szCs w:val="24"/>
          <w:lang w:eastAsia="uk-UA"/>
        </w:rPr>
        <w:t>Відбуло</w:t>
      </w:r>
      <w:r w:rsidR="006E3BAB" w:rsidRPr="00845A05">
        <w:rPr>
          <w:rFonts w:ascii="Times New Roman" w:hAnsi="Times New Roman"/>
          <w:sz w:val="28"/>
          <w:szCs w:val="24"/>
          <w:lang w:eastAsia="uk-UA"/>
        </w:rPr>
        <w:t xml:space="preserve">ся значне скорочення  доходів банків та страхових компаній, пов’язаних зі споживчим та іпотечним кредитуванням – з відповідними скороченнями персоналу в цих галузях. </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Щодо с</w:t>
      </w:r>
      <w:r w:rsidRPr="00F9072B">
        <w:rPr>
          <w:rFonts w:ascii="Times New Roman" w:hAnsi="Times New Roman"/>
          <w:sz w:val="28"/>
          <w:szCs w:val="28"/>
        </w:rPr>
        <w:t>творення</w:t>
      </w:r>
      <w:r w:rsidRPr="00A128C1">
        <w:rPr>
          <w:sz w:val="28"/>
          <w:szCs w:val="28"/>
        </w:rPr>
        <w:t xml:space="preserve"> </w:t>
      </w:r>
      <w:r w:rsidRPr="00F9072B">
        <w:rPr>
          <w:rFonts w:ascii="Times New Roman" w:hAnsi="Times New Roman"/>
          <w:sz w:val="28"/>
          <w:szCs w:val="28"/>
        </w:rPr>
        <w:t>сприятливих умов для розвитку підприємництва</w:t>
      </w:r>
      <w:r>
        <w:rPr>
          <w:rFonts w:ascii="Times New Roman" w:hAnsi="Times New Roman"/>
          <w:sz w:val="28"/>
          <w:szCs w:val="28"/>
        </w:rPr>
        <w:t>, то на наш погляд, з прийняттям Податкового кодексу та з інших причин (обмеження у видачі кредитів, високі кредитні ставки, відтік інвестицій, у т.ч. іноземних) середовище на</w:t>
      </w:r>
      <w:r w:rsidRPr="00B13CD9">
        <w:rPr>
          <w:rFonts w:ascii="Times New Roman" w:hAnsi="Times New Roman"/>
          <w:sz w:val="28"/>
          <w:szCs w:val="28"/>
        </w:rPr>
        <w:t>вряд</w:t>
      </w:r>
      <w:r>
        <w:rPr>
          <w:rFonts w:ascii="Times New Roman" w:hAnsi="Times New Roman"/>
          <w:sz w:val="28"/>
          <w:szCs w:val="28"/>
        </w:rPr>
        <w:t xml:space="preserve"> чи можна назвати сприятливим.</w:t>
      </w:r>
    </w:p>
    <w:p w:rsidR="006E3BAB" w:rsidRDefault="006E3BAB" w:rsidP="006E3BAB">
      <w:pPr>
        <w:autoSpaceDE w:val="0"/>
        <w:autoSpaceDN w:val="0"/>
        <w:adjustRightInd w:val="0"/>
        <w:spacing w:after="0" w:line="360" w:lineRule="auto"/>
        <w:ind w:firstLine="709"/>
        <w:jc w:val="both"/>
        <w:rPr>
          <w:rFonts w:ascii="Times New Roman" w:hAnsi="Times New Roman"/>
          <w:sz w:val="28"/>
          <w:szCs w:val="28"/>
        </w:rPr>
      </w:pPr>
      <w:r>
        <w:rPr>
          <w:rFonts w:ascii="Arial,Bold" w:hAnsi="Arial,Bold" w:cs="Arial,Bold"/>
          <w:bCs/>
          <w:color w:val="000000"/>
          <w:sz w:val="28"/>
          <w:szCs w:val="28"/>
        </w:rPr>
        <w:t xml:space="preserve">Уряд своїми рішеннями старається стабілізувати ситуацію в країні. Більшість комерційних банків з кінця 2010 року ніби то почали видавати кредити, проте не всі бажаючі можуть ними скористатися, бо відсутність доходів та високі відсоткові ставки не сприятимуть розвитку, а лише погіршать фінансовий стан суб’єктів господарювання. Багато підприємств за таких умов скоротили виробництво, стали збитковими або взагалі припинили свою діяльність.  Кількість збиткових підприємств у 2009 році порівняно з 2008 роком збільшилась на 2,5%. Найбільше збиткових підприємств у 2009 році зареєстровано у будівництві (43,3%), промисловості (40,7%), транспорті та зв’язку (43,1%). </w:t>
      </w:r>
      <w:r w:rsidRPr="00C8648E">
        <w:rPr>
          <w:rFonts w:ascii="Times New Roman" w:hAnsi="Times New Roman"/>
          <w:sz w:val="28"/>
          <w:szCs w:val="24"/>
        </w:rPr>
        <w:t>Відбувалося поширення застосування адміністрацією підприємств вимушен</w:t>
      </w:r>
      <w:r>
        <w:rPr>
          <w:rFonts w:ascii="Times New Roman" w:hAnsi="Times New Roman"/>
          <w:sz w:val="28"/>
          <w:szCs w:val="24"/>
        </w:rPr>
        <w:t>их адміністративних відпусток,</w:t>
      </w:r>
      <w:r w:rsidRPr="00C8648E">
        <w:rPr>
          <w:rFonts w:ascii="Times New Roman" w:hAnsi="Times New Roman"/>
          <w:sz w:val="28"/>
          <w:szCs w:val="24"/>
        </w:rPr>
        <w:t xml:space="preserve"> скорочення робочого дня</w:t>
      </w:r>
      <w:r>
        <w:rPr>
          <w:rFonts w:ascii="Times New Roman" w:hAnsi="Times New Roman"/>
          <w:sz w:val="28"/>
          <w:szCs w:val="24"/>
        </w:rPr>
        <w:t xml:space="preserve"> (тижня), звільнення працівників</w:t>
      </w:r>
      <w:r w:rsidRPr="00C8648E">
        <w:rPr>
          <w:rFonts w:ascii="Times New Roman" w:hAnsi="Times New Roman"/>
          <w:sz w:val="28"/>
          <w:szCs w:val="24"/>
        </w:rPr>
        <w:t>.</w:t>
      </w:r>
      <w:r>
        <w:rPr>
          <w:rFonts w:ascii="Times New Roman" w:hAnsi="Times New Roman"/>
          <w:sz w:val="28"/>
          <w:szCs w:val="24"/>
        </w:rPr>
        <w:t xml:space="preserve"> Необхідно відзначити, що така тенденція зберігалася і впродовж 2010 року. Рівень вимушеної неповної зайнятості у 2010 </w:t>
      </w:r>
      <w:r>
        <w:rPr>
          <w:rFonts w:ascii="Times New Roman" w:hAnsi="Times New Roman"/>
          <w:sz w:val="28"/>
          <w:szCs w:val="24"/>
        </w:rPr>
        <w:lastRenderedPageBreak/>
        <w:t xml:space="preserve">році був найвищим у будівництві (14,2% від штатної кількості працівників), промисловості (7,8%) та торгівлі (5,1%). </w:t>
      </w:r>
    </w:p>
    <w:p w:rsidR="006E3BAB" w:rsidRDefault="006E3BAB" w:rsidP="006E3BAB">
      <w:pPr>
        <w:autoSpaceDE w:val="0"/>
        <w:autoSpaceDN w:val="0"/>
        <w:adjustRightInd w:val="0"/>
        <w:spacing w:after="0" w:line="360" w:lineRule="auto"/>
        <w:ind w:firstLine="708"/>
        <w:jc w:val="both"/>
        <w:rPr>
          <w:rFonts w:ascii="Times New Roman" w:hAnsi="Times New Roman"/>
          <w:sz w:val="28"/>
          <w:szCs w:val="28"/>
        </w:rPr>
      </w:pPr>
      <w:r>
        <w:rPr>
          <w:rFonts w:ascii="Arial,Bold" w:hAnsi="Arial,Bold" w:cs="Arial,Bold"/>
          <w:bCs/>
          <w:color w:val="000000"/>
          <w:sz w:val="28"/>
          <w:szCs w:val="28"/>
        </w:rPr>
        <w:t xml:space="preserve">Економічна криза </w:t>
      </w:r>
      <w:r w:rsidRPr="00345755">
        <w:rPr>
          <w:rFonts w:ascii="Times New Roman" w:hAnsi="Times New Roman"/>
          <w:sz w:val="28"/>
          <w:szCs w:val="28"/>
        </w:rPr>
        <w:t>загострила і соціальні проблеми.</w:t>
      </w:r>
      <w:r>
        <w:rPr>
          <w:rFonts w:ascii="Times New Roman" w:hAnsi="Times New Roman"/>
          <w:sz w:val="28"/>
          <w:szCs w:val="28"/>
        </w:rPr>
        <w:t xml:space="preserve"> Рівень офіційно зареєстрованого безробіття у 2009 році порівняно з 2008 роком зріс на 2,5% і становив 8,8%. Серед причин вивільнення</w:t>
      </w:r>
      <w:r w:rsidRPr="004B6CD7">
        <w:rPr>
          <w:rFonts w:ascii="Times New Roman" w:hAnsi="Times New Roman"/>
          <w:sz w:val="28"/>
          <w:szCs w:val="28"/>
        </w:rPr>
        <w:t xml:space="preserve"> </w:t>
      </w:r>
      <w:r>
        <w:rPr>
          <w:rFonts w:ascii="Times New Roman" w:hAnsi="Times New Roman"/>
          <w:sz w:val="28"/>
          <w:szCs w:val="28"/>
        </w:rPr>
        <w:t xml:space="preserve">у 2009 році найбільший відсоток складають економічні – 45,5%. </w:t>
      </w:r>
    </w:p>
    <w:p w:rsidR="006E3BAB" w:rsidRDefault="006E3BAB" w:rsidP="006E3BA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Збільшилась заборгованість із заробітної плати, найбільше на підприємствах</w:t>
      </w:r>
      <w:r>
        <w:rPr>
          <w:rFonts w:ascii="TimesNewRomanPSMT" w:hAnsi="TimesNewRomanPSMT" w:cs="TimesNewRomanPSMT"/>
          <w:sz w:val="28"/>
          <w:szCs w:val="28"/>
        </w:rPr>
        <w:t xml:space="preserve"> добування вугілля, лігніту і торфу (на 10,1 млн. грн.), будівництва (на 9,0 млн. грн.), у сфері діяльності транспорту та зв’язку (на 6,1 млн. грн.), на підприємствах з виробництва машин та устаткування (на 5,6 млн. грн.), з виробництва транспортних засобів та устаткування (на 4,7 млн. грн.), а також охорони здоров’я та надання соціальної допомоги (на 3,9 млн. грн.).</w:t>
      </w:r>
      <w:r>
        <w:rPr>
          <w:rFonts w:ascii="Times New Roman" w:hAnsi="Times New Roman"/>
          <w:sz w:val="28"/>
          <w:szCs w:val="28"/>
        </w:rPr>
        <w:t xml:space="preserve"> </w:t>
      </w:r>
      <w:r>
        <w:rPr>
          <w:rFonts w:ascii="TimesNewRomanPSMT" w:hAnsi="TimesNewRomanPSMT" w:cs="TimesNewRomanPSMT"/>
          <w:sz w:val="28"/>
          <w:szCs w:val="28"/>
        </w:rPr>
        <w:t xml:space="preserve">Упродовж  листопада 2010 року загальна сума </w:t>
      </w:r>
      <w:r w:rsidRPr="00127E6D">
        <w:rPr>
          <w:rFonts w:ascii="TimesNewRomanPS-BoldMT" w:hAnsi="TimesNewRomanPS-BoldMT" w:cs="TimesNewRomanPS-BoldMT"/>
          <w:bCs/>
          <w:sz w:val="28"/>
          <w:szCs w:val="28"/>
        </w:rPr>
        <w:t xml:space="preserve">заборгованості з виплати заробітної плати </w:t>
      </w:r>
      <w:r w:rsidRPr="00127E6D">
        <w:rPr>
          <w:rFonts w:ascii="TimesNewRomanPSMT" w:hAnsi="TimesNewRomanPSMT" w:cs="TimesNewRomanPSMT"/>
          <w:sz w:val="28"/>
          <w:szCs w:val="28"/>
        </w:rPr>
        <w:t>з</w:t>
      </w:r>
      <w:r>
        <w:rPr>
          <w:rFonts w:ascii="TimesNewRomanPSMT" w:hAnsi="TimesNewRomanPSMT" w:cs="TimesNewRomanPSMT"/>
          <w:sz w:val="28"/>
          <w:szCs w:val="28"/>
        </w:rPr>
        <w:t xml:space="preserve">більшилася на 4,4%, або на 57,0 млн. грн., і на 1 грудня 2010р. становила 1340,9 млн. грн. </w:t>
      </w:r>
    </w:p>
    <w:p w:rsidR="006E3BAB" w:rsidRDefault="006E3BAB" w:rsidP="006E3BAB">
      <w:pPr>
        <w:spacing w:after="0" w:line="360" w:lineRule="auto"/>
        <w:ind w:firstLine="709"/>
        <w:jc w:val="both"/>
        <w:rPr>
          <w:rFonts w:ascii="Times New Roman" w:hAnsi="Times New Roman"/>
          <w:sz w:val="28"/>
          <w:szCs w:val="24"/>
          <w:lang w:eastAsia="uk-UA"/>
        </w:rPr>
      </w:pPr>
      <w:r w:rsidRPr="00825540">
        <w:rPr>
          <w:rFonts w:ascii="Times New Roman" w:hAnsi="Times New Roman"/>
          <w:sz w:val="28"/>
          <w:szCs w:val="24"/>
          <w:lang w:eastAsia="uk-UA"/>
        </w:rPr>
        <w:t>Ще однією соціальною проблемою</w:t>
      </w:r>
      <w:r>
        <w:rPr>
          <w:rFonts w:ascii="Times New Roman" w:hAnsi="Times New Roman"/>
          <w:sz w:val="28"/>
          <w:szCs w:val="24"/>
          <w:lang w:eastAsia="uk-UA"/>
        </w:rPr>
        <w:t xml:space="preserve"> для України є різке зростання</w:t>
      </w:r>
      <w:r w:rsidRPr="00825540">
        <w:rPr>
          <w:rFonts w:ascii="Times New Roman" w:hAnsi="Times New Roman"/>
          <w:sz w:val="28"/>
          <w:szCs w:val="24"/>
          <w:lang w:eastAsia="uk-UA"/>
        </w:rPr>
        <w:t xml:space="preserve"> з 2009 року кількості осіб пенсійного віку та відповідного збільшення витрат Пенсійного фонду України й державного бюджету. </w:t>
      </w:r>
      <w:r>
        <w:rPr>
          <w:rFonts w:ascii="Times New Roman" w:hAnsi="Times New Roman"/>
          <w:sz w:val="28"/>
          <w:szCs w:val="24"/>
          <w:lang w:eastAsia="uk-UA"/>
        </w:rPr>
        <w:t>П</w:t>
      </w:r>
      <w:r w:rsidRPr="00825540">
        <w:rPr>
          <w:rFonts w:ascii="Times New Roman" w:hAnsi="Times New Roman"/>
          <w:sz w:val="28"/>
          <w:szCs w:val="24"/>
          <w:lang w:eastAsia="uk-UA"/>
        </w:rPr>
        <w:t xml:space="preserve">ричиною цього є вихід України з так званої </w:t>
      </w:r>
      <w:r>
        <w:rPr>
          <w:rFonts w:ascii="Times New Roman" w:hAnsi="Times New Roman"/>
          <w:sz w:val="28"/>
          <w:szCs w:val="24"/>
          <w:lang w:eastAsia="uk-UA"/>
        </w:rPr>
        <w:t>демографічної ями, у якій вона</w:t>
      </w:r>
      <w:r w:rsidRPr="00825540">
        <w:rPr>
          <w:rFonts w:ascii="Times New Roman" w:hAnsi="Times New Roman"/>
          <w:sz w:val="28"/>
          <w:szCs w:val="24"/>
          <w:lang w:eastAsia="uk-UA"/>
        </w:rPr>
        <w:t xml:space="preserve"> перебувала в період з 2000</w:t>
      </w:r>
      <w:r>
        <w:rPr>
          <w:rFonts w:ascii="Times New Roman" w:hAnsi="Times New Roman"/>
          <w:sz w:val="28"/>
          <w:szCs w:val="24"/>
          <w:lang w:eastAsia="uk-UA"/>
        </w:rPr>
        <w:t xml:space="preserve"> року</w:t>
      </w:r>
      <w:r w:rsidRPr="00825540">
        <w:rPr>
          <w:rFonts w:ascii="Times New Roman" w:hAnsi="Times New Roman"/>
          <w:sz w:val="28"/>
          <w:szCs w:val="24"/>
          <w:lang w:eastAsia="uk-UA"/>
        </w:rPr>
        <w:t>. Саме в цей період кількість осіб, котрі виходили на пенсію, була значно нижчою, ніж у попередні та наступні роки. Це пов’язано з тим, що в цей проміжок часу на пенсію мали виходити ті, хто народивс</w:t>
      </w:r>
      <w:r>
        <w:rPr>
          <w:rFonts w:ascii="Times New Roman" w:hAnsi="Times New Roman"/>
          <w:sz w:val="28"/>
          <w:szCs w:val="24"/>
          <w:lang w:eastAsia="uk-UA"/>
        </w:rPr>
        <w:t>я в період  війни (40-48рр. минулого століття), а таких</w:t>
      </w:r>
      <w:r w:rsidRPr="00825540">
        <w:rPr>
          <w:rFonts w:ascii="Times New Roman" w:hAnsi="Times New Roman"/>
          <w:sz w:val="28"/>
          <w:szCs w:val="24"/>
          <w:lang w:eastAsia="uk-UA"/>
        </w:rPr>
        <w:t xml:space="preserve"> було небагато. Після 1948–1949 років як в Україні, так і в більшості європейських країн, починається період стрімкого зростання народжувано</w:t>
      </w:r>
      <w:r>
        <w:rPr>
          <w:rFonts w:ascii="Times New Roman" w:hAnsi="Times New Roman"/>
          <w:sz w:val="28"/>
          <w:szCs w:val="24"/>
          <w:lang w:eastAsia="uk-UA"/>
        </w:rPr>
        <w:t>сті, який</w:t>
      </w:r>
      <w:r w:rsidRPr="00825540">
        <w:rPr>
          <w:rFonts w:ascii="Times New Roman" w:hAnsi="Times New Roman"/>
          <w:sz w:val="28"/>
          <w:szCs w:val="24"/>
          <w:lang w:eastAsia="uk-UA"/>
        </w:rPr>
        <w:t xml:space="preserve"> тривав до середини 60 років. </w:t>
      </w:r>
      <w:r>
        <w:rPr>
          <w:rFonts w:ascii="Times New Roman" w:hAnsi="Times New Roman"/>
          <w:sz w:val="28"/>
          <w:szCs w:val="24"/>
          <w:lang w:eastAsia="uk-UA"/>
        </w:rPr>
        <w:t>Головним</w:t>
      </w:r>
      <w:r w:rsidRPr="00825540">
        <w:rPr>
          <w:rFonts w:ascii="Times New Roman" w:hAnsi="Times New Roman"/>
          <w:sz w:val="28"/>
          <w:szCs w:val="24"/>
          <w:lang w:eastAsia="uk-UA"/>
        </w:rPr>
        <w:t xml:space="preserve"> механізмом її розв’язання в інших країнах світу</w:t>
      </w:r>
      <w:r>
        <w:rPr>
          <w:rFonts w:ascii="Times New Roman" w:hAnsi="Times New Roman"/>
          <w:sz w:val="28"/>
          <w:szCs w:val="24"/>
          <w:lang w:eastAsia="uk-UA"/>
        </w:rPr>
        <w:t xml:space="preserve"> було поступове підвищення пенсійного віку</w:t>
      </w:r>
      <w:r w:rsidRPr="00825540">
        <w:rPr>
          <w:rFonts w:ascii="Times New Roman" w:hAnsi="Times New Roman"/>
          <w:sz w:val="28"/>
          <w:szCs w:val="24"/>
          <w:lang w:eastAsia="uk-UA"/>
        </w:rPr>
        <w:t xml:space="preserve"> до 65 років – як чоловіків, так і жінок. </w:t>
      </w:r>
    </w:p>
    <w:p w:rsidR="006E3BAB" w:rsidRDefault="006E3BAB" w:rsidP="006E3BAB">
      <w:pPr>
        <w:spacing w:after="0" w:line="360" w:lineRule="auto"/>
        <w:ind w:firstLine="709"/>
        <w:jc w:val="both"/>
        <w:rPr>
          <w:rFonts w:ascii="Times New Roman" w:hAnsi="Times New Roman"/>
          <w:sz w:val="28"/>
          <w:szCs w:val="24"/>
          <w:lang w:eastAsia="uk-UA"/>
        </w:rPr>
      </w:pPr>
      <w:r>
        <w:rPr>
          <w:rFonts w:ascii="Times New Roman" w:hAnsi="Times New Roman"/>
          <w:sz w:val="28"/>
          <w:szCs w:val="24"/>
          <w:lang w:eastAsia="uk-UA"/>
        </w:rPr>
        <w:t>За даними Міністерства фінансів України дефіцит коштів Пенсійного фонду у 2009 році порівняно з 2008 роком збільшився майже у 4 рази і складає 17313,7 млн. грн..</w:t>
      </w:r>
    </w:p>
    <w:p w:rsidR="006E3BAB" w:rsidRDefault="006E3BAB" w:rsidP="006E3BAB">
      <w:pPr>
        <w:spacing w:after="0" w:line="360" w:lineRule="auto"/>
        <w:ind w:firstLine="709"/>
        <w:jc w:val="both"/>
        <w:rPr>
          <w:rFonts w:ascii="Times New Roman" w:hAnsi="Times New Roman"/>
          <w:sz w:val="28"/>
          <w:szCs w:val="24"/>
          <w:lang w:eastAsia="uk-UA"/>
        </w:rPr>
      </w:pPr>
      <w:r>
        <w:rPr>
          <w:rFonts w:ascii="Times New Roman" w:hAnsi="Times New Roman"/>
          <w:sz w:val="28"/>
          <w:szCs w:val="24"/>
          <w:lang w:eastAsia="uk-UA"/>
        </w:rPr>
        <w:lastRenderedPageBreak/>
        <w:t>Різке</w:t>
      </w:r>
      <w:r w:rsidRPr="00D90213">
        <w:rPr>
          <w:rFonts w:ascii="Times New Roman" w:hAnsi="Times New Roman"/>
          <w:sz w:val="28"/>
          <w:szCs w:val="24"/>
          <w:lang w:eastAsia="uk-UA"/>
        </w:rPr>
        <w:t xml:space="preserve"> зростанням пенсійни</w:t>
      </w:r>
      <w:r>
        <w:rPr>
          <w:rFonts w:ascii="Times New Roman" w:hAnsi="Times New Roman"/>
          <w:sz w:val="28"/>
          <w:szCs w:val="24"/>
          <w:lang w:eastAsia="uk-UA"/>
        </w:rPr>
        <w:t>х зобов’язань держави змусило і Уряд України вирішувати цю проблему шляхом пенсійної реформи, яка також передбачає збільшення пенсійного віку.</w:t>
      </w:r>
      <w:r w:rsidRPr="00C303DF">
        <w:rPr>
          <w:rFonts w:ascii="Times New Roman" w:hAnsi="Times New Roman"/>
          <w:sz w:val="28"/>
          <w:szCs w:val="24"/>
          <w:lang w:eastAsia="uk-UA"/>
        </w:rPr>
        <w:t xml:space="preserve"> </w:t>
      </w:r>
      <w:r>
        <w:rPr>
          <w:rFonts w:ascii="Times New Roman" w:hAnsi="Times New Roman"/>
          <w:sz w:val="28"/>
          <w:szCs w:val="24"/>
          <w:lang w:eastAsia="uk-UA"/>
        </w:rPr>
        <w:t>Чи вдасться Уряду здійснити цю реформу, враховуючи великий супротив населення, покаже час. А поки що покриття дефіциту коштів Пенсійного фонду лягає тягарем на Державний бюджет, а враховуючи р</w:t>
      </w:r>
      <w:r>
        <w:rPr>
          <w:rFonts w:ascii="TimesNewRomanPSMT" w:hAnsi="TimesNewRomanPSMT" w:cs="TimesNewRomanPSMT"/>
          <w:sz w:val="28"/>
          <w:szCs w:val="28"/>
        </w:rPr>
        <w:t>івень зайнятості населення у 2010 році (у віці 15–70 років – 58,9%, в працездатному – 66,0%) та рівень безробіття  (серед економічно активного населення віком 15–70 років - 8,0%, а працездатного віку – 8,7%) ліквідувати або принаймні скоротити його вдасться не скоро.</w:t>
      </w:r>
    </w:p>
    <w:p w:rsidR="006E3BAB" w:rsidRDefault="006E3BAB" w:rsidP="006E3BAB">
      <w:pPr>
        <w:spacing w:after="0" w:line="360" w:lineRule="auto"/>
        <w:ind w:firstLine="700"/>
        <w:jc w:val="both"/>
        <w:rPr>
          <w:rFonts w:ascii="Times New Roman" w:hAnsi="Times New Roman"/>
          <w:sz w:val="28"/>
          <w:szCs w:val="28"/>
        </w:rPr>
      </w:pPr>
      <w:r w:rsidRPr="003C5164">
        <w:rPr>
          <w:rFonts w:ascii="Times New Roman" w:hAnsi="Times New Roman"/>
          <w:b/>
          <w:sz w:val="28"/>
          <w:szCs w:val="28"/>
        </w:rPr>
        <w:t>В</w:t>
      </w:r>
      <w:r>
        <w:rPr>
          <w:rFonts w:ascii="Times New Roman" w:hAnsi="Times New Roman"/>
          <w:b/>
          <w:sz w:val="28"/>
          <w:szCs w:val="28"/>
        </w:rPr>
        <w:t>иснов</w:t>
      </w:r>
      <w:r w:rsidRPr="003C5164">
        <w:rPr>
          <w:rFonts w:ascii="Times New Roman" w:hAnsi="Times New Roman"/>
          <w:b/>
          <w:sz w:val="28"/>
          <w:szCs w:val="28"/>
        </w:rPr>
        <w:t>к</w:t>
      </w:r>
      <w:r>
        <w:rPr>
          <w:rFonts w:ascii="Times New Roman" w:hAnsi="Times New Roman"/>
          <w:b/>
          <w:sz w:val="28"/>
          <w:szCs w:val="28"/>
        </w:rPr>
        <w:t>и</w:t>
      </w:r>
      <w:r w:rsidRPr="003C5164">
        <w:rPr>
          <w:rFonts w:ascii="Times New Roman" w:hAnsi="Times New Roman"/>
          <w:b/>
          <w:sz w:val="28"/>
          <w:szCs w:val="28"/>
        </w:rPr>
        <w:t>.</w:t>
      </w:r>
      <w:r>
        <w:rPr>
          <w:rFonts w:ascii="Times New Roman" w:hAnsi="Times New Roman"/>
          <w:sz w:val="28"/>
          <w:szCs w:val="28"/>
        </w:rPr>
        <w:t xml:space="preserve"> </w:t>
      </w:r>
      <w:r w:rsidRPr="003C5164">
        <w:rPr>
          <w:rFonts w:ascii="Times New Roman" w:hAnsi="Times New Roman"/>
          <w:sz w:val="28"/>
          <w:szCs w:val="28"/>
        </w:rPr>
        <w:t xml:space="preserve">Отже, </w:t>
      </w:r>
      <w:r w:rsidRPr="003C5164">
        <w:rPr>
          <w:rFonts w:ascii="Times New Roman" w:hAnsi="Times New Roman"/>
          <w:bCs/>
          <w:sz w:val="28"/>
          <w:szCs w:val="28"/>
        </w:rPr>
        <w:t xml:space="preserve">в Україні актуальним залишається завдання визначення </w:t>
      </w:r>
      <w:r>
        <w:rPr>
          <w:rFonts w:ascii="Times New Roman" w:hAnsi="Times New Roman"/>
          <w:bCs/>
          <w:sz w:val="28"/>
          <w:szCs w:val="28"/>
        </w:rPr>
        <w:t>макроекономічних пріоритетів розвитку національної економіки,</w:t>
      </w:r>
      <w:r w:rsidRPr="003C5164">
        <w:rPr>
          <w:rFonts w:ascii="Times New Roman" w:hAnsi="Times New Roman"/>
          <w:bCs/>
          <w:sz w:val="28"/>
          <w:szCs w:val="28"/>
        </w:rPr>
        <w:t xml:space="preserve"> інструментів антикризової політики на середньострокову перспективу.</w:t>
      </w:r>
      <w:r>
        <w:rPr>
          <w:rFonts w:ascii="Times New Roman" w:hAnsi="Times New Roman"/>
          <w:bCs/>
          <w:sz w:val="28"/>
          <w:szCs w:val="28"/>
        </w:rPr>
        <w:t xml:space="preserve"> </w:t>
      </w:r>
    </w:p>
    <w:p w:rsidR="006E3BAB" w:rsidRPr="003C5164" w:rsidRDefault="006E3BAB" w:rsidP="006E3BAB">
      <w:pPr>
        <w:spacing w:after="0" w:line="360" w:lineRule="auto"/>
        <w:ind w:firstLine="709"/>
        <w:jc w:val="both"/>
        <w:rPr>
          <w:rFonts w:ascii="Times New Roman" w:hAnsi="Times New Roman"/>
          <w:sz w:val="28"/>
          <w:szCs w:val="28"/>
        </w:rPr>
      </w:pPr>
      <w:r>
        <w:rPr>
          <w:rFonts w:ascii="Times New Roman" w:hAnsi="Times New Roman"/>
          <w:sz w:val="28"/>
          <w:szCs w:val="28"/>
        </w:rPr>
        <w:t>При визначенні пріоритетів та інструментів антикризової політики, дуже</w:t>
      </w:r>
      <w:r w:rsidRPr="003C5164">
        <w:rPr>
          <w:rFonts w:ascii="Times New Roman" w:hAnsi="Times New Roman"/>
          <w:sz w:val="28"/>
          <w:szCs w:val="28"/>
        </w:rPr>
        <w:t xml:space="preserve"> важливо </w:t>
      </w:r>
      <w:r>
        <w:rPr>
          <w:rFonts w:ascii="Times New Roman" w:hAnsi="Times New Roman"/>
          <w:sz w:val="28"/>
          <w:szCs w:val="28"/>
        </w:rPr>
        <w:t>виділити</w:t>
      </w:r>
      <w:r w:rsidRPr="003C5164">
        <w:rPr>
          <w:rFonts w:ascii="Times New Roman" w:hAnsi="Times New Roman"/>
          <w:sz w:val="28"/>
          <w:szCs w:val="28"/>
        </w:rPr>
        <w:t xml:space="preserve"> першочергові та системні</w:t>
      </w:r>
      <w:r>
        <w:rPr>
          <w:rFonts w:ascii="Times New Roman" w:hAnsi="Times New Roman"/>
          <w:sz w:val="28"/>
          <w:szCs w:val="28"/>
        </w:rPr>
        <w:t xml:space="preserve"> </w:t>
      </w:r>
      <w:r w:rsidRPr="003C5164">
        <w:rPr>
          <w:rFonts w:ascii="Times New Roman" w:hAnsi="Times New Roman"/>
          <w:sz w:val="28"/>
          <w:szCs w:val="28"/>
        </w:rPr>
        <w:t xml:space="preserve">заходи. </w:t>
      </w:r>
      <w:r>
        <w:rPr>
          <w:rFonts w:ascii="Times New Roman" w:hAnsi="Times New Roman"/>
          <w:sz w:val="28"/>
          <w:szCs w:val="28"/>
        </w:rPr>
        <w:t xml:space="preserve">Першочергові антикризові заходи повинні </w:t>
      </w:r>
      <w:r w:rsidRPr="003C5164">
        <w:rPr>
          <w:rFonts w:ascii="Times New Roman" w:hAnsi="Times New Roman"/>
          <w:sz w:val="28"/>
          <w:szCs w:val="28"/>
        </w:rPr>
        <w:t xml:space="preserve"> формувати необхідні структурні зрушення</w:t>
      </w:r>
      <w:r>
        <w:rPr>
          <w:rFonts w:ascii="Times New Roman" w:hAnsi="Times New Roman"/>
          <w:sz w:val="28"/>
          <w:szCs w:val="28"/>
        </w:rPr>
        <w:t xml:space="preserve"> в економіці</w:t>
      </w:r>
      <w:r w:rsidRPr="003C5164">
        <w:rPr>
          <w:rFonts w:ascii="Times New Roman" w:hAnsi="Times New Roman"/>
          <w:sz w:val="28"/>
          <w:szCs w:val="28"/>
        </w:rPr>
        <w:t xml:space="preserve">, які </w:t>
      </w:r>
      <w:r>
        <w:rPr>
          <w:rFonts w:ascii="Times New Roman" w:hAnsi="Times New Roman"/>
          <w:sz w:val="28"/>
          <w:szCs w:val="28"/>
        </w:rPr>
        <w:t xml:space="preserve"> створюватимуть фундамент для</w:t>
      </w:r>
      <w:r w:rsidRPr="003C5164">
        <w:rPr>
          <w:rFonts w:ascii="Times New Roman" w:hAnsi="Times New Roman"/>
          <w:sz w:val="28"/>
          <w:szCs w:val="28"/>
        </w:rPr>
        <w:t xml:space="preserve"> економічного зростання на основі національних конкурентних переваг. </w:t>
      </w:r>
    </w:p>
    <w:p w:rsidR="006E3BAB" w:rsidRDefault="006E3BAB" w:rsidP="006E3BAB">
      <w:pPr>
        <w:spacing w:after="0" w:line="360" w:lineRule="auto"/>
        <w:ind w:firstLine="700"/>
        <w:jc w:val="both"/>
        <w:rPr>
          <w:rFonts w:ascii="Times New Roman" w:hAnsi="Times New Roman"/>
          <w:sz w:val="28"/>
          <w:szCs w:val="28"/>
        </w:rPr>
      </w:pPr>
      <w:r w:rsidRPr="003C5164">
        <w:rPr>
          <w:rFonts w:ascii="Times New Roman" w:hAnsi="Times New Roman"/>
          <w:sz w:val="28"/>
          <w:szCs w:val="28"/>
        </w:rPr>
        <w:t xml:space="preserve">Виходячи з проведеного аналізу, </w:t>
      </w:r>
      <w:r w:rsidRPr="00351FEF">
        <w:rPr>
          <w:rFonts w:ascii="Times New Roman" w:hAnsi="Times New Roman"/>
          <w:bCs/>
          <w:sz w:val="28"/>
          <w:szCs w:val="28"/>
        </w:rPr>
        <w:t>першочергові заходи антикризової політики мають, на нашу думку, включати:</w:t>
      </w:r>
      <w:r>
        <w:rPr>
          <w:rFonts w:ascii="Times New Roman" w:hAnsi="Times New Roman"/>
          <w:bCs/>
          <w:sz w:val="28"/>
          <w:szCs w:val="28"/>
        </w:rPr>
        <w:t xml:space="preserve"> </w:t>
      </w:r>
      <w:r w:rsidRPr="003C5164">
        <w:rPr>
          <w:rFonts w:ascii="Times New Roman" w:hAnsi="Times New Roman"/>
          <w:sz w:val="28"/>
          <w:szCs w:val="28"/>
        </w:rPr>
        <w:t xml:space="preserve"> захо</w:t>
      </w:r>
      <w:r>
        <w:rPr>
          <w:rFonts w:ascii="Times New Roman" w:hAnsi="Times New Roman"/>
          <w:sz w:val="28"/>
          <w:szCs w:val="28"/>
        </w:rPr>
        <w:t xml:space="preserve">ди щодо стабілізації фінансово-кредитної </w:t>
      </w:r>
      <w:r w:rsidRPr="003C5164">
        <w:rPr>
          <w:rFonts w:ascii="Times New Roman" w:hAnsi="Times New Roman"/>
          <w:sz w:val="28"/>
          <w:szCs w:val="28"/>
        </w:rPr>
        <w:t>системи;</w:t>
      </w:r>
      <w:r>
        <w:rPr>
          <w:rFonts w:ascii="Times New Roman" w:hAnsi="Times New Roman"/>
          <w:sz w:val="28"/>
          <w:szCs w:val="28"/>
        </w:rPr>
        <w:t xml:space="preserve"> </w:t>
      </w:r>
      <w:r w:rsidRPr="003C5164">
        <w:rPr>
          <w:rFonts w:ascii="Times New Roman" w:hAnsi="Times New Roman"/>
          <w:sz w:val="28"/>
          <w:szCs w:val="28"/>
        </w:rPr>
        <w:t>сприяння пожвавленню економічної активності та запобігання економічному спаду;</w:t>
      </w:r>
      <w:r>
        <w:rPr>
          <w:rFonts w:ascii="Times New Roman" w:hAnsi="Times New Roman"/>
          <w:sz w:val="28"/>
          <w:szCs w:val="28"/>
        </w:rPr>
        <w:t xml:space="preserve"> </w:t>
      </w:r>
      <w:r w:rsidRPr="003C5164">
        <w:rPr>
          <w:rFonts w:ascii="Times New Roman" w:hAnsi="Times New Roman"/>
          <w:sz w:val="28"/>
          <w:szCs w:val="28"/>
        </w:rPr>
        <w:t>заходи щодо відновлення керованості національної економіки.</w:t>
      </w:r>
      <w:r>
        <w:rPr>
          <w:rFonts w:ascii="Times New Roman" w:hAnsi="Times New Roman"/>
          <w:sz w:val="28"/>
          <w:szCs w:val="28"/>
        </w:rPr>
        <w:t xml:space="preserve"> У цьому контексті необхідно, в першу чергу, відновити довіру населення до банків. Адже з початком кризи відбувся масовий відтік коштів населення з депозитних рахунків, які могли б працювати на економіку. Розроби</w:t>
      </w:r>
      <w:r w:rsidRPr="00320B8E">
        <w:rPr>
          <w:rFonts w:ascii="Times New Roman" w:hAnsi="Times New Roman"/>
          <w:sz w:val="28"/>
          <w:szCs w:val="28"/>
        </w:rPr>
        <w:t>ти механізми рефінансування комерційних банків з метою відновлення ними</w:t>
      </w:r>
      <w:r>
        <w:rPr>
          <w:rFonts w:ascii="Times New Roman" w:hAnsi="Times New Roman"/>
          <w:sz w:val="28"/>
          <w:szCs w:val="28"/>
        </w:rPr>
        <w:t xml:space="preserve"> обсягів кредитування</w:t>
      </w:r>
      <w:r w:rsidRPr="00320B8E">
        <w:rPr>
          <w:rFonts w:ascii="Times New Roman" w:hAnsi="Times New Roman"/>
          <w:sz w:val="28"/>
          <w:szCs w:val="28"/>
        </w:rPr>
        <w:t xml:space="preserve"> діяльності суб’єктів господарювання, фінансування довгострокових інвестиційних та інноваційних програм.</w:t>
      </w:r>
      <w:r>
        <w:rPr>
          <w:rFonts w:ascii="Times New Roman" w:hAnsi="Times New Roman"/>
          <w:sz w:val="28"/>
          <w:szCs w:val="28"/>
        </w:rPr>
        <w:t xml:space="preserve"> </w:t>
      </w:r>
      <w:r w:rsidRPr="00EA78E2">
        <w:rPr>
          <w:rFonts w:ascii="Times New Roman" w:hAnsi="Times New Roman"/>
          <w:sz w:val="28"/>
          <w:szCs w:val="28"/>
        </w:rPr>
        <w:t>Розробити механізми збільшення видаткових статей у державному бюджеті у випадку перевищення прогнозних надходжень;</w:t>
      </w:r>
      <w:r>
        <w:rPr>
          <w:rFonts w:ascii="Times New Roman" w:hAnsi="Times New Roman"/>
          <w:sz w:val="28"/>
          <w:szCs w:val="28"/>
        </w:rPr>
        <w:t xml:space="preserve"> </w:t>
      </w:r>
      <w:r w:rsidRPr="00EA78E2">
        <w:rPr>
          <w:rFonts w:ascii="Times New Roman" w:hAnsi="Times New Roman"/>
          <w:sz w:val="28"/>
          <w:szCs w:val="28"/>
        </w:rPr>
        <w:t>внести зміни до принципів нарахування соціальних виплат т</w:t>
      </w:r>
      <w:r>
        <w:rPr>
          <w:rFonts w:ascii="Times New Roman" w:hAnsi="Times New Roman"/>
          <w:sz w:val="28"/>
          <w:szCs w:val="28"/>
        </w:rPr>
        <w:t>а фінансування соціальної сфери</w:t>
      </w:r>
      <w:r w:rsidRPr="00EA78E2">
        <w:rPr>
          <w:rFonts w:ascii="Times New Roman" w:hAnsi="Times New Roman"/>
          <w:sz w:val="28"/>
          <w:szCs w:val="28"/>
        </w:rPr>
        <w:t>;</w:t>
      </w:r>
      <w:r>
        <w:rPr>
          <w:rFonts w:ascii="Times New Roman" w:hAnsi="Times New Roman"/>
          <w:sz w:val="28"/>
          <w:szCs w:val="28"/>
        </w:rPr>
        <w:t xml:space="preserve"> передбачити </w:t>
      </w:r>
      <w:r>
        <w:rPr>
          <w:rFonts w:ascii="Times New Roman" w:hAnsi="Times New Roman"/>
          <w:sz w:val="28"/>
          <w:szCs w:val="28"/>
        </w:rPr>
        <w:lastRenderedPageBreak/>
        <w:t xml:space="preserve">у бюджеті  видатки </w:t>
      </w:r>
      <w:r w:rsidR="008360A5">
        <w:rPr>
          <w:rFonts w:ascii="Times New Roman" w:hAnsi="Times New Roman"/>
          <w:sz w:val="28"/>
          <w:szCs w:val="28"/>
        </w:rPr>
        <w:t xml:space="preserve">на </w:t>
      </w:r>
      <w:r>
        <w:rPr>
          <w:rFonts w:ascii="Times New Roman" w:hAnsi="Times New Roman"/>
          <w:sz w:val="28"/>
          <w:szCs w:val="28"/>
        </w:rPr>
        <w:t>розвиток інфраструктури економіки;</w:t>
      </w:r>
      <w:r>
        <w:rPr>
          <w:rFonts w:ascii="Times New Roman" w:hAnsi="Times New Roman"/>
          <w:color w:val="000000"/>
          <w:sz w:val="28"/>
          <w:szCs w:val="28"/>
        </w:rPr>
        <w:t xml:space="preserve"> </w:t>
      </w:r>
      <w:r w:rsidRPr="00EA78E2">
        <w:rPr>
          <w:rFonts w:ascii="Times New Roman" w:hAnsi="Times New Roman"/>
          <w:color w:val="000000"/>
          <w:sz w:val="28"/>
          <w:szCs w:val="28"/>
        </w:rPr>
        <w:t>зменшення енергоємності виробницт</w:t>
      </w:r>
      <w:r>
        <w:rPr>
          <w:rFonts w:ascii="Times New Roman" w:hAnsi="Times New Roman"/>
          <w:color w:val="000000"/>
          <w:sz w:val="28"/>
          <w:szCs w:val="28"/>
        </w:rPr>
        <w:t>ва;</w:t>
      </w:r>
      <w:r>
        <w:rPr>
          <w:rFonts w:ascii="Times New Roman" w:hAnsi="Times New Roman"/>
          <w:sz w:val="28"/>
          <w:szCs w:val="28"/>
        </w:rPr>
        <w:t xml:space="preserve"> підвищення</w:t>
      </w:r>
      <w:r w:rsidRPr="00EA78E2">
        <w:rPr>
          <w:rFonts w:ascii="Times New Roman" w:hAnsi="Times New Roman"/>
          <w:sz w:val="28"/>
          <w:szCs w:val="28"/>
        </w:rPr>
        <w:t xml:space="preserve"> попиту на товари вітчизняної </w:t>
      </w:r>
      <w:r>
        <w:rPr>
          <w:rFonts w:ascii="Times New Roman" w:hAnsi="Times New Roman"/>
          <w:sz w:val="28"/>
          <w:szCs w:val="28"/>
        </w:rPr>
        <w:t>промисловості; забезпечення</w:t>
      </w:r>
      <w:r w:rsidRPr="00EA78E2">
        <w:rPr>
          <w:rFonts w:ascii="Times New Roman" w:hAnsi="Times New Roman"/>
          <w:sz w:val="28"/>
          <w:szCs w:val="28"/>
        </w:rPr>
        <w:t xml:space="preserve"> збереження роб</w:t>
      </w:r>
      <w:r>
        <w:rPr>
          <w:rFonts w:ascii="Times New Roman" w:hAnsi="Times New Roman"/>
          <w:sz w:val="28"/>
          <w:szCs w:val="28"/>
        </w:rPr>
        <w:t>очих місць</w:t>
      </w:r>
      <w:r w:rsidRPr="00EA78E2">
        <w:rPr>
          <w:rFonts w:ascii="Times New Roman" w:hAnsi="Times New Roman"/>
          <w:sz w:val="28"/>
          <w:szCs w:val="28"/>
        </w:rPr>
        <w:t xml:space="preserve"> тощо.</w:t>
      </w:r>
    </w:p>
    <w:p w:rsidR="006E3BAB" w:rsidRDefault="006E3BAB" w:rsidP="006E3BAB">
      <w:pPr>
        <w:spacing w:after="0" w:line="360" w:lineRule="auto"/>
        <w:ind w:firstLine="709"/>
        <w:jc w:val="both"/>
        <w:rPr>
          <w:rFonts w:ascii="Times New Roman" w:hAnsi="Times New Roman"/>
          <w:sz w:val="28"/>
          <w:szCs w:val="28"/>
        </w:rPr>
      </w:pPr>
      <w:r w:rsidRPr="00C073F4">
        <w:rPr>
          <w:rFonts w:ascii="Times New Roman" w:hAnsi="Times New Roman"/>
          <w:sz w:val="28"/>
          <w:szCs w:val="28"/>
        </w:rPr>
        <w:t xml:space="preserve">Важливим чинником стимулювання економічного зростання має стати </w:t>
      </w:r>
      <w:r w:rsidRPr="00C073F4">
        <w:rPr>
          <w:rFonts w:ascii="Times New Roman" w:hAnsi="Times New Roman"/>
          <w:bCs/>
          <w:sz w:val="28"/>
          <w:szCs w:val="28"/>
        </w:rPr>
        <w:t>заохочення припливу в Україну прямих іноземних інвестицій</w:t>
      </w:r>
      <w:r w:rsidRPr="00C073F4">
        <w:rPr>
          <w:rFonts w:ascii="Times New Roman" w:hAnsi="Times New Roman"/>
          <w:sz w:val="28"/>
          <w:szCs w:val="28"/>
        </w:rPr>
        <w:t>.</w:t>
      </w:r>
      <w:r>
        <w:rPr>
          <w:rFonts w:ascii="Times New Roman" w:hAnsi="Times New Roman"/>
          <w:sz w:val="28"/>
          <w:szCs w:val="28"/>
        </w:rPr>
        <w:t xml:space="preserve"> Для цього</w:t>
      </w:r>
      <w:r w:rsidRPr="00C073F4">
        <w:rPr>
          <w:rFonts w:ascii="Times New Roman" w:hAnsi="Times New Roman"/>
          <w:sz w:val="28"/>
          <w:szCs w:val="28"/>
        </w:rPr>
        <w:t xml:space="preserve"> доцільно використовувати досвід країн Центральної та Східної Європи щодо створення в Україні привабливого інвестиц</w:t>
      </w:r>
      <w:r>
        <w:rPr>
          <w:rFonts w:ascii="Times New Roman" w:hAnsi="Times New Roman"/>
          <w:sz w:val="28"/>
          <w:szCs w:val="28"/>
        </w:rPr>
        <w:t>ійного середовища, активізувати співпрацю</w:t>
      </w:r>
      <w:r w:rsidRPr="00C073F4">
        <w:rPr>
          <w:rFonts w:ascii="Times New Roman" w:hAnsi="Times New Roman"/>
          <w:sz w:val="28"/>
          <w:szCs w:val="28"/>
        </w:rPr>
        <w:t xml:space="preserve"> з країнами, які найменш п</w:t>
      </w:r>
      <w:r>
        <w:rPr>
          <w:rFonts w:ascii="Times New Roman" w:hAnsi="Times New Roman"/>
          <w:sz w:val="28"/>
          <w:szCs w:val="28"/>
        </w:rPr>
        <w:t xml:space="preserve">остраждали від світової економічної </w:t>
      </w:r>
      <w:r w:rsidRPr="00C073F4">
        <w:rPr>
          <w:rFonts w:ascii="Times New Roman" w:hAnsi="Times New Roman"/>
          <w:sz w:val="28"/>
          <w:szCs w:val="28"/>
        </w:rPr>
        <w:t>кризи.</w:t>
      </w:r>
      <w:r>
        <w:rPr>
          <w:rFonts w:ascii="Times New Roman" w:hAnsi="Times New Roman"/>
          <w:sz w:val="28"/>
          <w:szCs w:val="28"/>
        </w:rPr>
        <w:t xml:space="preserve"> </w:t>
      </w:r>
    </w:p>
    <w:p w:rsidR="006E3BAB" w:rsidRDefault="006E3BAB" w:rsidP="006E3BA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Необхідною умовою </w:t>
      </w:r>
      <w:r w:rsidRPr="00C073F4">
        <w:rPr>
          <w:rFonts w:ascii="Times New Roman" w:hAnsi="Times New Roman"/>
          <w:sz w:val="28"/>
          <w:szCs w:val="28"/>
        </w:rPr>
        <w:t>економічного пожвавлення в країні</w:t>
      </w:r>
      <w:r>
        <w:rPr>
          <w:rFonts w:ascii="Times New Roman" w:hAnsi="Times New Roman"/>
          <w:sz w:val="28"/>
          <w:szCs w:val="28"/>
        </w:rPr>
        <w:t xml:space="preserve">, на наш погляд, має стати </w:t>
      </w:r>
      <w:r w:rsidRPr="00C073F4">
        <w:rPr>
          <w:rFonts w:ascii="Times New Roman" w:hAnsi="Times New Roman"/>
          <w:sz w:val="28"/>
          <w:szCs w:val="28"/>
        </w:rPr>
        <w:t>відновлення позитивної динаміки експорту</w:t>
      </w:r>
      <w:r>
        <w:rPr>
          <w:rFonts w:ascii="Times New Roman" w:hAnsi="Times New Roman"/>
          <w:sz w:val="28"/>
          <w:szCs w:val="28"/>
        </w:rPr>
        <w:t>, це забезпечило б значні валютні надходження та</w:t>
      </w:r>
      <w:r w:rsidRPr="00C073F4">
        <w:rPr>
          <w:rFonts w:ascii="Times New Roman" w:hAnsi="Times New Roman"/>
          <w:sz w:val="28"/>
          <w:szCs w:val="28"/>
        </w:rPr>
        <w:t xml:space="preserve"> поліпшення стану поточного рахунку платіжного балансу в умовах критичного наростання зовнішньої заборгованості.</w:t>
      </w:r>
    </w:p>
    <w:p w:rsidR="006E3BAB" w:rsidRDefault="006E3BAB" w:rsidP="006E3BAB">
      <w:pPr>
        <w:spacing w:after="0" w:line="360" w:lineRule="auto"/>
        <w:ind w:firstLine="709"/>
        <w:jc w:val="both"/>
        <w:rPr>
          <w:rFonts w:ascii="Times New Roman" w:hAnsi="Times New Roman"/>
          <w:sz w:val="28"/>
          <w:szCs w:val="28"/>
        </w:rPr>
      </w:pPr>
      <w:r w:rsidRPr="006A6CB6">
        <w:rPr>
          <w:rFonts w:ascii="Times New Roman" w:hAnsi="Times New Roman"/>
          <w:sz w:val="28"/>
          <w:szCs w:val="28"/>
        </w:rPr>
        <w:t>Складовою стабілізації національної економіки має стати і курсова стабільність, яка сприятиме недопущенню інфляції, створить основу для врегулювання заборгованості по валютних кредитах у банківському секторі, поліпшить середовище для інвестицій тощо.</w:t>
      </w:r>
      <w:r>
        <w:rPr>
          <w:rFonts w:ascii="Times New Roman" w:hAnsi="Times New Roman"/>
          <w:sz w:val="28"/>
          <w:szCs w:val="28"/>
        </w:rPr>
        <w:t xml:space="preserve"> Разом з тим,</w:t>
      </w:r>
      <w:r w:rsidRPr="006A6CB6">
        <w:rPr>
          <w:rFonts w:ascii="Times New Roman" w:hAnsi="Times New Roman"/>
          <w:sz w:val="28"/>
          <w:szCs w:val="28"/>
        </w:rPr>
        <w:t xml:space="preserve"> курсові коливання є допустимими, застосовується центральними банками зарубіжних країн та </w:t>
      </w:r>
      <w:r>
        <w:rPr>
          <w:rFonts w:ascii="Times New Roman" w:hAnsi="Times New Roman"/>
          <w:sz w:val="28"/>
          <w:szCs w:val="28"/>
        </w:rPr>
        <w:t>є однією з</w:t>
      </w:r>
      <w:r w:rsidRPr="006A6CB6">
        <w:rPr>
          <w:rFonts w:ascii="Times New Roman" w:hAnsi="Times New Roman"/>
          <w:sz w:val="28"/>
          <w:szCs w:val="28"/>
        </w:rPr>
        <w:t xml:space="preserve"> умов надання Україні стабілізаційного кредиту МВФ.</w:t>
      </w:r>
    </w:p>
    <w:p w:rsidR="006E3BAB" w:rsidRPr="005A68D7" w:rsidRDefault="006E3BAB" w:rsidP="006E3BAB">
      <w:pPr>
        <w:pStyle w:val="2"/>
        <w:spacing w:before="0" w:beforeAutospacing="0" w:after="0" w:afterAutospacing="0" w:line="360" w:lineRule="auto"/>
        <w:ind w:firstLine="708"/>
        <w:jc w:val="both"/>
        <w:rPr>
          <w:sz w:val="28"/>
          <w:szCs w:val="28"/>
        </w:rPr>
      </w:pPr>
      <w:r>
        <w:rPr>
          <w:b w:val="0"/>
          <w:sz w:val="28"/>
          <w:szCs w:val="28"/>
        </w:rPr>
        <w:t>Пріоритетом</w:t>
      </w:r>
      <w:r w:rsidRPr="005A68D7">
        <w:rPr>
          <w:b w:val="0"/>
          <w:sz w:val="28"/>
          <w:szCs w:val="28"/>
        </w:rPr>
        <w:t xml:space="preserve"> державної політики, спрямованої на компенсацію чи обмеження негативних соціальних наслідків кризових явищ, </w:t>
      </w:r>
      <w:r>
        <w:rPr>
          <w:b w:val="0"/>
          <w:sz w:val="28"/>
          <w:szCs w:val="28"/>
        </w:rPr>
        <w:t xml:space="preserve">безумовно повинно стати </w:t>
      </w:r>
      <w:r w:rsidRPr="005A68D7">
        <w:rPr>
          <w:b w:val="0"/>
          <w:sz w:val="28"/>
          <w:szCs w:val="28"/>
        </w:rPr>
        <w:t>з</w:t>
      </w:r>
      <w:r w:rsidRPr="005A68D7">
        <w:rPr>
          <w:b w:val="0"/>
          <w:bCs w:val="0"/>
          <w:sz w:val="28"/>
          <w:szCs w:val="28"/>
        </w:rPr>
        <w:t xml:space="preserve">береження </w:t>
      </w:r>
      <w:r>
        <w:rPr>
          <w:b w:val="0"/>
          <w:bCs w:val="0"/>
          <w:sz w:val="28"/>
          <w:szCs w:val="28"/>
        </w:rPr>
        <w:t>рівня та якості життя населення,</w:t>
      </w:r>
      <w:r w:rsidRPr="005A68D7">
        <w:rPr>
          <w:b w:val="0"/>
          <w:bCs w:val="0"/>
          <w:sz w:val="28"/>
          <w:szCs w:val="28"/>
        </w:rPr>
        <w:t xml:space="preserve"> зайнятості та вітчизняного кадрового потенціалу</w:t>
      </w:r>
      <w:r>
        <w:rPr>
          <w:b w:val="0"/>
          <w:bCs w:val="0"/>
          <w:sz w:val="28"/>
          <w:szCs w:val="28"/>
        </w:rPr>
        <w:t xml:space="preserve"> тощо.</w:t>
      </w:r>
    </w:p>
    <w:p w:rsidR="006E3BAB" w:rsidRDefault="006E3BAB" w:rsidP="006E3BAB">
      <w:pPr>
        <w:pStyle w:val="a3"/>
        <w:spacing w:before="0" w:beforeAutospacing="0" w:after="0" w:afterAutospacing="0" w:line="360" w:lineRule="auto"/>
        <w:ind w:firstLine="709"/>
        <w:jc w:val="both"/>
        <w:rPr>
          <w:bCs/>
          <w:sz w:val="28"/>
          <w:szCs w:val="28"/>
        </w:rPr>
      </w:pPr>
      <w:r w:rsidRPr="00BE1453">
        <w:rPr>
          <w:sz w:val="28"/>
          <w:szCs w:val="28"/>
        </w:rPr>
        <w:t>Джерелом</w:t>
      </w:r>
      <w:r>
        <w:rPr>
          <w:sz w:val="28"/>
          <w:szCs w:val="28"/>
        </w:rPr>
        <w:t xml:space="preserve"> фінансових ресурсів, які можуть</w:t>
      </w:r>
      <w:r w:rsidRPr="00BE1453">
        <w:rPr>
          <w:sz w:val="28"/>
          <w:szCs w:val="28"/>
        </w:rPr>
        <w:t xml:space="preserve"> спрямовуватися на заходи щодо стабілізації національної економіки можуть бути як </w:t>
      </w:r>
      <w:r w:rsidRPr="00BE1453">
        <w:rPr>
          <w:bCs/>
          <w:sz w:val="28"/>
          <w:szCs w:val="28"/>
        </w:rPr>
        <w:t>емісі</w:t>
      </w:r>
      <w:r>
        <w:rPr>
          <w:bCs/>
          <w:sz w:val="28"/>
          <w:szCs w:val="28"/>
        </w:rPr>
        <w:t xml:space="preserve">йні кошти так і </w:t>
      </w:r>
      <w:r w:rsidRPr="00BE1453">
        <w:rPr>
          <w:bCs/>
          <w:sz w:val="28"/>
          <w:szCs w:val="28"/>
        </w:rPr>
        <w:t>внутрішні та зовнішні запозичення.</w:t>
      </w:r>
    </w:p>
    <w:p w:rsidR="008360A5" w:rsidRPr="00AD2410" w:rsidRDefault="008360A5" w:rsidP="006E3BAB">
      <w:pPr>
        <w:pStyle w:val="a3"/>
        <w:spacing w:before="0" w:beforeAutospacing="0" w:after="0" w:afterAutospacing="0" w:line="360" w:lineRule="auto"/>
        <w:ind w:firstLine="709"/>
        <w:jc w:val="both"/>
        <w:rPr>
          <w:sz w:val="28"/>
          <w:szCs w:val="28"/>
        </w:rPr>
      </w:pPr>
      <w:r>
        <w:rPr>
          <w:bCs/>
          <w:sz w:val="28"/>
          <w:szCs w:val="28"/>
        </w:rPr>
        <w:t>У довгостроковій перспективі в Україні має бути ство</w:t>
      </w:r>
      <w:r w:rsidR="00ED2B49">
        <w:rPr>
          <w:bCs/>
          <w:sz w:val="28"/>
          <w:szCs w:val="28"/>
        </w:rPr>
        <w:t>рена оптимальна дихотомічна реля</w:t>
      </w:r>
      <w:r>
        <w:rPr>
          <w:bCs/>
          <w:sz w:val="28"/>
          <w:szCs w:val="28"/>
        </w:rPr>
        <w:t>ція,</w:t>
      </w:r>
      <w:r w:rsidR="00ED2B49">
        <w:rPr>
          <w:bCs/>
          <w:sz w:val="28"/>
          <w:szCs w:val="28"/>
        </w:rPr>
        <w:t xml:space="preserve"> урівноважена з одного боку, висококонкурентним ринковим потенціалом та, з іншого боку, чистим від корупції державним регуляторним потенціалом</w:t>
      </w:r>
      <w:r>
        <w:rPr>
          <w:bCs/>
          <w:sz w:val="28"/>
          <w:szCs w:val="28"/>
        </w:rPr>
        <w:t xml:space="preserve"> </w:t>
      </w:r>
      <w:r w:rsidR="00AD2410" w:rsidRPr="00AD2410">
        <w:rPr>
          <w:bCs/>
          <w:sz w:val="28"/>
          <w:szCs w:val="28"/>
        </w:rPr>
        <w:t>(</w:t>
      </w:r>
      <w:r w:rsidR="00AD2410">
        <w:rPr>
          <w:bCs/>
          <w:sz w:val="28"/>
          <w:szCs w:val="28"/>
        </w:rPr>
        <w:t>чим більше конкуренції, тим менше корупції</w:t>
      </w:r>
      <w:r w:rsidR="00AD2410" w:rsidRPr="00AD2410">
        <w:rPr>
          <w:bCs/>
          <w:sz w:val="28"/>
          <w:szCs w:val="28"/>
        </w:rPr>
        <w:t>)</w:t>
      </w:r>
      <w:r w:rsidR="00AD2410">
        <w:rPr>
          <w:bCs/>
          <w:sz w:val="28"/>
          <w:szCs w:val="28"/>
        </w:rPr>
        <w:t>.</w:t>
      </w:r>
    </w:p>
    <w:p w:rsidR="006E3BAB" w:rsidRPr="0048062D" w:rsidRDefault="006E3BAB" w:rsidP="006E3BAB">
      <w:pPr>
        <w:jc w:val="center"/>
        <w:rPr>
          <w:rFonts w:ascii="Times New Roman" w:hAnsi="Times New Roman"/>
          <w:b/>
          <w:sz w:val="28"/>
          <w:szCs w:val="28"/>
        </w:rPr>
      </w:pPr>
      <w:r w:rsidRPr="0048062D">
        <w:rPr>
          <w:rFonts w:ascii="Times New Roman" w:hAnsi="Times New Roman"/>
          <w:b/>
          <w:sz w:val="28"/>
          <w:szCs w:val="28"/>
        </w:rPr>
        <w:lastRenderedPageBreak/>
        <w:t>Список використаних джерел</w:t>
      </w:r>
    </w:p>
    <w:p w:rsidR="006E3BAB" w:rsidRPr="0048062D" w:rsidRDefault="006E3BAB" w:rsidP="009B4AA5">
      <w:pPr>
        <w:numPr>
          <w:ilvl w:val="0"/>
          <w:numId w:val="5"/>
        </w:numPr>
        <w:autoSpaceDE w:val="0"/>
        <w:autoSpaceDN w:val="0"/>
        <w:adjustRightInd w:val="0"/>
        <w:spacing w:after="0" w:line="360" w:lineRule="auto"/>
        <w:rPr>
          <w:rFonts w:ascii="Times New Roman" w:hAnsi="Times New Roman"/>
          <w:sz w:val="28"/>
          <w:szCs w:val="28"/>
        </w:rPr>
      </w:pPr>
      <w:r w:rsidRPr="0048062D">
        <w:rPr>
          <w:rFonts w:ascii="Times New Roman" w:hAnsi="Times New Roman"/>
          <w:sz w:val="28"/>
          <w:szCs w:val="28"/>
          <w:lang w:eastAsia="uk-UA"/>
        </w:rPr>
        <w:t>Б</w:t>
      </w:r>
      <w:r>
        <w:rPr>
          <w:rFonts w:ascii="Times New Roman" w:hAnsi="Times New Roman"/>
          <w:sz w:val="28"/>
          <w:szCs w:val="28"/>
          <w:lang w:eastAsia="uk-UA"/>
        </w:rPr>
        <w:t>уковинський С</w:t>
      </w:r>
      <w:r w:rsidRPr="0048062D">
        <w:rPr>
          <w:rFonts w:ascii="Times New Roman" w:hAnsi="Times New Roman"/>
          <w:sz w:val="28"/>
          <w:szCs w:val="28"/>
          <w:lang w:eastAsia="uk-UA"/>
        </w:rPr>
        <w:t>.</w:t>
      </w:r>
      <w:r>
        <w:rPr>
          <w:rFonts w:ascii="Times New Roman" w:hAnsi="Times New Roman"/>
          <w:sz w:val="28"/>
          <w:szCs w:val="28"/>
          <w:lang w:eastAsia="uk-UA"/>
        </w:rPr>
        <w:t>А</w:t>
      </w:r>
      <w:r w:rsidRPr="0048062D">
        <w:rPr>
          <w:rFonts w:ascii="Times New Roman" w:hAnsi="Times New Roman"/>
          <w:sz w:val="28"/>
          <w:szCs w:val="28"/>
          <w:lang w:eastAsia="uk-UA"/>
        </w:rPr>
        <w:t xml:space="preserve">. </w:t>
      </w:r>
      <w:r>
        <w:rPr>
          <w:rFonts w:ascii="Times New Roman" w:hAnsi="Times New Roman"/>
          <w:sz w:val="28"/>
          <w:szCs w:val="28"/>
          <w:lang w:eastAsia="uk-UA"/>
        </w:rPr>
        <w:t>Фінансова криза в Україні: вплив на розвиток економіки та деякі заходи з досягнення фінансової стабілізації</w:t>
      </w:r>
      <w:r w:rsidRPr="0048062D">
        <w:rPr>
          <w:rFonts w:ascii="Times New Roman" w:hAnsi="Times New Roman"/>
          <w:sz w:val="28"/>
          <w:szCs w:val="28"/>
          <w:lang w:eastAsia="uk-UA"/>
        </w:rPr>
        <w:t xml:space="preserve"> / </w:t>
      </w:r>
      <w:r>
        <w:rPr>
          <w:rFonts w:ascii="Times New Roman" w:hAnsi="Times New Roman"/>
          <w:sz w:val="28"/>
          <w:szCs w:val="28"/>
          <w:lang w:eastAsia="uk-UA"/>
        </w:rPr>
        <w:t>С</w:t>
      </w:r>
      <w:r w:rsidRPr="0048062D">
        <w:rPr>
          <w:rFonts w:ascii="Times New Roman" w:hAnsi="Times New Roman"/>
          <w:sz w:val="28"/>
          <w:szCs w:val="28"/>
          <w:lang w:eastAsia="uk-UA"/>
        </w:rPr>
        <w:t>.</w:t>
      </w:r>
      <w:r>
        <w:rPr>
          <w:rFonts w:ascii="Times New Roman" w:hAnsi="Times New Roman"/>
          <w:sz w:val="28"/>
          <w:szCs w:val="28"/>
          <w:lang w:eastAsia="uk-UA"/>
        </w:rPr>
        <w:t>А</w:t>
      </w:r>
      <w:r w:rsidRPr="0048062D">
        <w:rPr>
          <w:rFonts w:ascii="Times New Roman" w:hAnsi="Times New Roman"/>
          <w:sz w:val="28"/>
          <w:szCs w:val="28"/>
          <w:lang w:eastAsia="uk-UA"/>
        </w:rPr>
        <w:t>. Б</w:t>
      </w:r>
      <w:r>
        <w:rPr>
          <w:rFonts w:ascii="Times New Roman" w:hAnsi="Times New Roman"/>
          <w:sz w:val="28"/>
          <w:szCs w:val="28"/>
          <w:lang w:eastAsia="uk-UA"/>
        </w:rPr>
        <w:t>уковинський</w:t>
      </w:r>
      <w:r w:rsidRPr="0048062D">
        <w:rPr>
          <w:rFonts w:ascii="Times New Roman" w:hAnsi="Times New Roman"/>
          <w:sz w:val="28"/>
          <w:szCs w:val="28"/>
          <w:lang w:eastAsia="uk-UA"/>
        </w:rPr>
        <w:t xml:space="preserve"> // Фінанси України. –</w:t>
      </w:r>
      <w:r>
        <w:rPr>
          <w:rFonts w:ascii="Times New Roman" w:hAnsi="Times New Roman"/>
          <w:sz w:val="28"/>
          <w:szCs w:val="28"/>
          <w:lang w:eastAsia="uk-UA"/>
        </w:rPr>
        <w:t xml:space="preserve"> 2010</w:t>
      </w:r>
      <w:r w:rsidRPr="0048062D">
        <w:rPr>
          <w:rFonts w:ascii="Times New Roman" w:hAnsi="Times New Roman"/>
          <w:sz w:val="28"/>
          <w:szCs w:val="28"/>
          <w:lang w:eastAsia="uk-UA"/>
        </w:rPr>
        <w:t>. – №</w:t>
      </w:r>
      <w:r>
        <w:rPr>
          <w:rFonts w:ascii="Times New Roman" w:hAnsi="Times New Roman"/>
          <w:sz w:val="28"/>
          <w:szCs w:val="28"/>
          <w:lang w:eastAsia="uk-UA"/>
        </w:rPr>
        <w:t xml:space="preserve"> 11</w:t>
      </w:r>
      <w:r w:rsidRPr="0048062D">
        <w:rPr>
          <w:rFonts w:ascii="Times New Roman" w:hAnsi="Times New Roman"/>
          <w:sz w:val="28"/>
          <w:szCs w:val="28"/>
          <w:lang w:eastAsia="uk-UA"/>
        </w:rPr>
        <w:t>. – С</w:t>
      </w:r>
      <w:r>
        <w:rPr>
          <w:rFonts w:ascii="Times New Roman" w:hAnsi="Times New Roman"/>
          <w:sz w:val="28"/>
          <w:szCs w:val="28"/>
          <w:lang w:eastAsia="uk-UA"/>
        </w:rPr>
        <w:t>. 10</w:t>
      </w:r>
      <w:r w:rsidRPr="0048062D">
        <w:rPr>
          <w:rFonts w:ascii="Times New Roman" w:hAnsi="Times New Roman"/>
          <w:sz w:val="28"/>
          <w:szCs w:val="28"/>
          <w:lang w:eastAsia="uk-UA"/>
        </w:rPr>
        <w:t>–3</w:t>
      </w:r>
      <w:r>
        <w:rPr>
          <w:rFonts w:ascii="Times New Roman" w:hAnsi="Times New Roman"/>
          <w:sz w:val="28"/>
          <w:szCs w:val="28"/>
          <w:lang w:eastAsia="uk-UA"/>
        </w:rPr>
        <w:t>0</w:t>
      </w:r>
      <w:r w:rsidRPr="0048062D">
        <w:rPr>
          <w:rFonts w:ascii="Times New Roman" w:hAnsi="Times New Roman"/>
          <w:sz w:val="28"/>
          <w:szCs w:val="28"/>
          <w:lang w:eastAsia="uk-UA"/>
        </w:rPr>
        <w:t>.</w:t>
      </w:r>
    </w:p>
    <w:p w:rsidR="006E3BAB" w:rsidRPr="0048062D" w:rsidRDefault="006E3BAB" w:rsidP="009B4AA5">
      <w:pPr>
        <w:numPr>
          <w:ilvl w:val="0"/>
          <w:numId w:val="5"/>
        </w:numPr>
        <w:autoSpaceDE w:val="0"/>
        <w:autoSpaceDN w:val="0"/>
        <w:adjustRightInd w:val="0"/>
        <w:spacing w:after="0" w:line="360" w:lineRule="auto"/>
        <w:rPr>
          <w:rFonts w:ascii="Times New Roman" w:hAnsi="Times New Roman"/>
          <w:sz w:val="28"/>
          <w:szCs w:val="28"/>
        </w:rPr>
      </w:pPr>
      <w:r w:rsidRPr="0048062D">
        <w:rPr>
          <w:rFonts w:ascii="Times New Roman" w:hAnsi="Times New Roman"/>
          <w:sz w:val="28"/>
          <w:szCs w:val="28"/>
          <w:lang w:eastAsia="uk-UA"/>
        </w:rPr>
        <w:t>Бюлетень Нац</w:t>
      </w:r>
      <w:r>
        <w:rPr>
          <w:rFonts w:ascii="Times New Roman" w:hAnsi="Times New Roman"/>
          <w:sz w:val="28"/>
          <w:szCs w:val="28"/>
          <w:lang w:eastAsia="uk-UA"/>
        </w:rPr>
        <w:t xml:space="preserve">іонального банку України. – 2011. – № 1. </w:t>
      </w:r>
      <w:r w:rsidRPr="00843149">
        <w:rPr>
          <w:rFonts w:ascii="Times New Roman" w:hAnsi="Times New Roman"/>
          <w:sz w:val="28"/>
          <w:szCs w:val="28"/>
          <w:lang w:eastAsia="uk-UA"/>
        </w:rPr>
        <w:t>http:</w:t>
      </w:r>
      <w:r>
        <w:rPr>
          <w:rFonts w:ascii="Times New Roman" w:hAnsi="Times New Roman"/>
          <w:sz w:val="28"/>
          <w:szCs w:val="28"/>
          <w:lang w:eastAsia="uk-UA"/>
        </w:rPr>
        <w:t xml:space="preserve"> </w:t>
      </w:r>
      <w:r w:rsidRPr="00843149">
        <w:rPr>
          <w:rFonts w:ascii="Times New Roman" w:hAnsi="Times New Roman"/>
          <w:sz w:val="28"/>
          <w:szCs w:val="28"/>
          <w:lang w:eastAsia="uk-UA"/>
        </w:rPr>
        <w:t>//www.</w:t>
      </w:r>
      <w:r>
        <w:rPr>
          <w:rFonts w:ascii="Times New Roman" w:hAnsi="Times New Roman"/>
          <w:sz w:val="28"/>
          <w:szCs w:val="28"/>
          <w:lang w:eastAsia="uk-UA"/>
        </w:rPr>
        <w:t xml:space="preserve"> </w:t>
      </w:r>
      <w:r w:rsidRPr="00843149">
        <w:rPr>
          <w:rFonts w:ascii="Times New Roman" w:hAnsi="Times New Roman"/>
          <w:sz w:val="28"/>
          <w:szCs w:val="28"/>
          <w:lang w:eastAsia="uk-UA"/>
        </w:rPr>
        <w:t>bank.</w:t>
      </w:r>
      <w:r>
        <w:rPr>
          <w:rFonts w:ascii="Times New Roman" w:hAnsi="Times New Roman"/>
          <w:sz w:val="28"/>
          <w:szCs w:val="28"/>
          <w:lang w:eastAsia="uk-UA"/>
        </w:rPr>
        <w:t xml:space="preserve"> </w:t>
      </w:r>
      <w:r w:rsidRPr="00843149">
        <w:rPr>
          <w:rFonts w:ascii="Times New Roman" w:hAnsi="Times New Roman"/>
          <w:sz w:val="28"/>
          <w:szCs w:val="28"/>
          <w:lang w:eastAsia="uk-UA"/>
        </w:rPr>
        <w:t>gov.ua</w:t>
      </w:r>
      <w:r>
        <w:rPr>
          <w:rFonts w:ascii="Times New Roman" w:hAnsi="Times New Roman"/>
          <w:sz w:val="28"/>
          <w:szCs w:val="28"/>
          <w:lang w:eastAsia="uk-UA"/>
        </w:rPr>
        <w:t>.</w:t>
      </w:r>
    </w:p>
    <w:p w:rsidR="006E3BAB" w:rsidRPr="00AD2410" w:rsidRDefault="006E3BAB" w:rsidP="009B4AA5">
      <w:pPr>
        <w:pStyle w:val="a9"/>
        <w:numPr>
          <w:ilvl w:val="0"/>
          <w:numId w:val="5"/>
        </w:numPr>
        <w:autoSpaceDE w:val="0"/>
        <w:autoSpaceDN w:val="0"/>
        <w:adjustRightInd w:val="0"/>
        <w:spacing w:after="0" w:line="360" w:lineRule="auto"/>
        <w:rPr>
          <w:rFonts w:ascii="Times New Roman" w:hAnsi="Times New Roman"/>
          <w:bCs/>
          <w:color w:val="000000" w:themeColor="text1"/>
          <w:sz w:val="28"/>
          <w:szCs w:val="28"/>
        </w:rPr>
      </w:pPr>
      <w:r w:rsidRPr="0048062D">
        <w:rPr>
          <w:rFonts w:ascii="Times New Roman" w:hAnsi="Times New Roman"/>
          <w:sz w:val="28"/>
          <w:szCs w:val="28"/>
        </w:rPr>
        <w:t>Гальчинський</w:t>
      </w:r>
      <w:r>
        <w:rPr>
          <w:rFonts w:ascii="Times New Roman" w:hAnsi="Times New Roman"/>
          <w:sz w:val="28"/>
          <w:szCs w:val="28"/>
        </w:rPr>
        <w:t xml:space="preserve"> А. </w:t>
      </w:r>
      <w:r w:rsidRPr="0048062D">
        <w:rPr>
          <w:rFonts w:ascii="Times New Roman" w:hAnsi="Times New Roman"/>
          <w:sz w:val="28"/>
          <w:szCs w:val="28"/>
        </w:rPr>
        <w:t>Вилікувати економіку можн</w:t>
      </w:r>
      <w:r>
        <w:rPr>
          <w:rFonts w:ascii="Times New Roman" w:hAnsi="Times New Roman"/>
          <w:sz w:val="28"/>
          <w:szCs w:val="28"/>
        </w:rPr>
        <w:t>а тільки на ліберальних засадах / А. Гальчинський /</w:t>
      </w:r>
      <w:r w:rsidRPr="0048062D">
        <w:rPr>
          <w:rFonts w:ascii="Times New Roman" w:hAnsi="Times New Roman"/>
          <w:sz w:val="28"/>
          <w:szCs w:val="28"/>
        </w:rPr>
        <w:t xml:space="preserve"> </w:t>
      </w:r>
      <w:r>
        <w:rPr>
          <w:rStyle w:val="issue"/>
          <w:rFonts w:ascii="Times New Roman" w:hAnsi="Times New Roman"/>
          <w:sz w:val="28"/>
          <w:szCs w:val="28"/>
        </w:rPr>
        <w:t>Дзеркало тижня.</w:t>
      </w:r>
      <w:r w:rsidRPr="0048062D">
        <w:rPr>
          <w:rStyle w:val="issue"/>
          <w:rFonts w:ascii="Times New Roman" w:hAnsi="Times New Roman"/>
          <w:sz w:val="28"/>
          <w:szCs w:val="28"/>
        </w:rPr>
        <w:t xml:space="preserve"> </w:t>
      </w:r>
      <w:r>
        <w:rPr>
          <w:rFonts w:ascii="Times New Roman" w:hAnsi="Times New Roman"/>
          <w:sz w:val="28"/>
          <w:szCs w:val="28"/>
          <w:lang w:eastAsia="uk-UA"/>
        </w:rPr>
        <w:t xml:space="preserve">– 2010. – </w:t>
      </w:r>
      <w:r w:rsidRPr="0048062D">
        <w:rPr>
          <w:rStyle w:val="issue"/>
          <w:rFonts w:ascii="Times New Roman" w:hAnsi="Times New Roman"/>
          <w:sz w:val="28"/>
          <w:szCs w:val="28"/>
        </w:rPr>
        <w:t>№ 6</w:t>
      </w:r>
      <w:r>
        <w:rPr>
          <w:rStyle w:val="issue"/>
          <w:rFonts w:ascii="Times New Roman" w:hAnsi="Times New Roman"/>
          <w:sz w:val="28"/>
          <w:szCs w:val="28"/>
        </w:rPr>
        <w:t xml:space="preserve">. </w:t>
      </w:r>
      <w:r w:rsidRPr="00AD2410">
        <w:rPr>
          <w:rStyle w:val="issue"/>
          <w:rFonts w:ascii="Times New Roman" w:hAnsi="Times New Roman"/>
          <w:color w:val="000000" w:themeColor="text1"/>
          <w:sz w:val="28"/>
          <w:szCs w:val="28"/>
        </w:rPr>
        <w:t xml:space="preserve">// </w:t>
      </w:r>
      <w:r w:rsidRPr="00AD2410">
        <w:rPr>
          <w:rFonts w:ascii="Times New Roman" w:hAnsi="Times New Roman"/>
          <w:bCs/>
          <w:color w:val="000000" w:themeColor="text1"/>
          <w:sz w:val="28"/>
          <w:szCs w:val="28"/>
        </w:rPr>
        <w:t xml:space="preserve"> </w:t>
      </w:r>
      <w:hyperlink r:id="rId10" w:history="1">
        <w:r w:rsidRPr="00AD2410">
          <w:rPr>
            <w:rStyle w:val="a8"/>
            <w:rFonts w:ascii="Times New Roman" w:hAnsi="Times New Roman"/>
            <w:bCs/>
            <w:color w:val="000000" w:themeColor="text1"/>
            <w:sz w:val="28"/>
            <w:szCs w:val="28"/>
            <w:u w:val="none"/>
          </w:rPr>
          <w:t>http://www.dt.ua</w:t>
        </w:r>
      </w:hyperlink>
      <w:r w:rsidRPr="00AD2410">
        <w:rPr>
          <w:rFonts w:ascii="Times New Roman" w:hAnsi="Times New Roman"/>
          <w:bCs/>
          <w:color w:val="000000" w:themeColor="text1"/>
          <w:sz w:val="28"/>
          <w:szCs w:val="28"/>
        </w:rPr>
        <w:t>.</w:t>
      </w:r>
    </w:p>
    <w:p w:rsidR="006E3BAB" w:rsidRPr="006D7168" w:rsidRDefault="006E3BAB" w:rsidP="009B4AA5">
      <w:pPr>
        <w:numPr>
          <w:ilvl w:val="0"/>
          <w:numId w:val="5"/>
        </w:numPr>
        <w:autoSpaceDE w:val="0"/>
        <w:autoSpaceDN w:val="0"/>
        <w:adjustRightInd w:val="0"/>
        <w:spacing w:after="0" w:line="360" w:lineRule="auto"/>
        <w:rPr>
          <w:rFonts w:ascii="Times New Roman" w:hAnsi="Times New Roman"/>
          <w:bCs/>
          <w:color w:val="000000" w:themeColor="text1"/>
          <w:sz w:val="28"/>
          <w:szCs w:val="28"/>
        </w:rPr>
      </w:pPr>
      <w:r w:rsidRPr="006D7168">
        <w:rPr>
          <w:rFonts w:ascii="Times New Roman" w:hAnsi="Times New Roman"/>
          <w:bCs/>
          <w:sz w:val="28"/>
          <w:szCs w:val="28"/>
          <w:lang w:eastAsia="uk-UA"/>
        </w:rPr>
        <w:t>Желюк Т. Л. Макроекономічна оцінка передумов для виходу України з кризи і забезпечення успішного довгострокового розвитку.</w:t>
      </w:r>
      <w:r w:rsidRPr="006D7168">
        <w:rPr>
          <w:rFonts w:ascii="NewtonCBold" w:hAnsi="NewtonCBold" w:cs="NewtonCBold"/>
          <w:b/>
          <w:bCs/>
          <w:sz w:val="20"/>
          <w:szCs w:val="20"/>
          <w:lang w:eastAsia="uk-UA"/>
        </w:rPr>
        <w:t xml:space="preserve"> </w:t>
      </w:r>
      <w:r>
        <w:rPr>
          <w:rFonts w:asciiTheme="minorHAnsi" w:hAnsiTheme="minorHAnsi" w:cs="NewtonCBold"/>
          <w:b/>
          <w:bCs/>
          <w:sz w:val="20"/>
          <w:szCs w:val="20"/>
          <w:lang w:eastAsia="uk-UA"/>
        </w:rPr>
        <w:t xml:space="preserve"> </w:t>
      </w:r>
      <w:r w:rsidRPr="006D7168">
        <w:rPr>
          <w:rFonts w:asciiTheme="minorHAnsi" w:hAnsiTheme="minorHAnsi" w:cs="NewtonCBold"/>
          <w:bCs/>
          <w:sz w:val="28"/>
          <w:szCs w:val="28"/>
          <w:lang w:eastAsia="uk-UA"/>
        </w:rPr>
        <w:t xml:space="preserve">/ </w:t>
      </w:r>
      <w:r w:rsidRPr="006D7168">
        <w:rPr>
          <w:rFonts w:ascii="NewtonCBold" w:hAnsi="NewtonCBold" w:cs="NewtonCBold"/>
          <w:bCs/>
          <w:sz w:val="28"/>
          <w:szCs w:val="28"/>
          <w:lang w:eastAsia="uk-UA"/>
        </w:rPr>
        <w:t>Т.Л. Желюк</w:t>
      </w:r>
      <w:r w:rsidRPr="006D7168">
        <w:rPr>
          <w:rFonts w:asciiTheme="minorHAnsi" w:hAnsiTheme="minorHAnsi" w:cs="NewtonCBold"/>
          <w:bCs/>
          <w:sz w:val="28"/>
          <w:szCs w:val="28"/>
          <w:lang w:eastAsia="uk-UA"/>
        </w:rPr>
        <w:t xml:space="preserve"> //</w:t>
      </w:r>
      <w:r>
        <w:rPr>
          <w:rFonts w:asciiTheme="minorHAnsi" w:hAnsiTheme="minorHAnsi" w:cs="NewtonCBold"/>
          <w:b/>
          <w:bCs/>
          <w:sz w:val="20"/>
          <w:szCs w:val="20"/>
          <w:lang w:eastAsia="uk-UA"/>
        </w:rPr>
        <w:t xml:space="preserve"> </w:t>
      </w:r>
      <w:r w:rsidRPr="006D7168">
        <w:rPr>
          <w:rFonts w:ascii="Times New Roman" w:hAnsi="Times New Roman"/>
          <w:bCs/>
          <w:sz w:val="28"/>
          <w:szCs w:val="28"/>
          <w:lang w:eastAsia="uk-UA"/>
        </w:rPr>
        <w:t>Бюлетень Міжнародного Нобелівського економічного форуму.</w:t>
      </w:r>
      <w:r>
        <w:rPr>
          <w:rFonts w:ascii="Times New Roman" w:hAnsi="Times New Roman"/>
          <w:bCs/>
          <w:sz w:val="28"/>
          <w:szCs w:val="28"/>
          <w:lang w:eastAsia="uk-UA"/>
        </w:rPr>
        <w:t xml:space="preserve"> </w:t>
      </w:r>
      <w:r>
        <w:rPr>
          <w:rFonts w:ascii="Times New Roman" w:hAnsi="Times New Roman"/>
          <w:sz w:val="28"/>
          <w:szCs w:val="28"/>
          <w:lang w:eastAsia="uk-UA"/>
        </w:rPr>
        <w:t xml:space="preserve">– </w:t>
      </w:r>
      <w:r w:rsidRPr="006D7168">
        <w:rPr>
          <w:rFonts w:ascii="Times New Roman" w:hAnsi="Times New Roman"/>
          <w:bCs/>
          <w:sz w:val="28"/>
          <w:szCs w:val="28"/>
          <w:lang w:eastAsia="uk-UA"/>
        </w:rPr>
        <w:t xml:space="preserve"> 2010. </w:t>
      </w:r>
      <w:r>
        <w:rPr>
          <w:rFonts w:ascii="Times New Roman" w:hAnsi="Times New Roman"/>
          <w:sz w:val="28"/>
          <w:szCs w:val="28"/>
          <w:lang w:eastAsia="uk-UA"/>
        </w:rPr>
        <w:t xml:space="preserve">– </w:t>
      </w:r>
      <w:r w:rsidRPr="006D7168">
        <w:rPr>
          <w:rFonts w:ascii="Times New Roman" w:hAnsi="Times New Roman"/>
          <w:bCs/>
          <w:sz w:val="28"/>
          <w:szCs w:val="28"/>
          <w:lang w:eastAsia="uk-UA"/>
        </w:rPr>
        <w:t>№1 (3). Том 2</w:t>
      </w:r>
      <w:r>
        <w:rPr>
          <w:rFonts w:ascii="Times New Roman" w:hAnsi="Times New Roman"/>
          <w:bCs/>
          <w:sz w:val="28"/>
          <w:szCs w:val="28"/>
          <w:lang w:eastAsia="uk-UA"/>
        </w:rPr>
        <w:t xml:space="preserve">. </w:t>
      </w:r>
      <w:r>
        <w:rPr>
          <w:rFonts w:ascii="Times New Roman" w:hAnsi="Times New Roman"/>
          <w:sz w:val="28"/>
          <w:szCs w:val="28"/>
          <w:lang w:eastAsia="uk-UA"/>
        </w:rPr>
        <w:t>– С. 98 – 106.</w:t>
      </w:r>
    </w:p>
    <w:p w:rsidR="006E3BAB" w:rsidRPr="000B0878" w:rsidRDefault="006E3BAB" w:rsidP="009B4AA5">
      <w:pPr>
        <w:pStyle w:val="HTML"/>
        <w:numPr>
          <w:ilvl w:val="0"/>
          <w:numId w:val="5"/>
        </w:numPr>
        <w:tabs>
          <w:tab w:val="clear" w:pos="916"/>
          <w:tab w:val="left" w:pos="426"/>
        </w:tabs>
        <w:spacing w:line="360" w:lineRule="auto"/>
        <w:ind w:left="357" w:hanging="357"/>
        <w:rPr>
          <w:rFonts w:ascii="Times New Roman" w:hAnsi="Times New Roman" w:cs="Times New Roman"/>
          <w:sz w:val="28"/>
          <w:szCs w:val="28"/>
        </w:rPr>
      </w:pPr>
      <w:r>
        <w:rPr>
          <w:rFonts w:ascii="Times New Roman" w:hAnsi="Times New Roman" w:cs="Times New Roman"/>
          <w:bCs/>
          <w:sz w:val="28"/>
          <w:szCs w:val="28"/>
        </w:rPr>
        <w:t>Закон України</w:t>
      </w:r>
      <w:r w:rsidRPr="0048062D">
        <w:rPr>
          <w:rFonts w:ascii="Times New Roman" w:hAnsi="Times New Roman" w:cs="Times New Roman"/>
          <w:b/>
          <w:bCs/>
          <w:sz w:val="28"/>
          <w:szCs w:val="28"/>
        </w:rPr>
        <w:t xml:space="preserve"> </w:t>
      </w:r>
      <w:r w:rsidRPr="0048062D">
        <w:rPr>
          <w:rFonts w:ascii="Times New Roman" w:hAnsi="Times New Roman" w:cs="Times New Roman"/>
          <w:sz w:val="28"/>
          <w:szCs w:val="28"/>
        </w:rPr>
        <w:t>Про Державну програму економічного і соціального розвитку України на 2010 рік</w:t>
      </w:r>
      <w:r>
        <w:rPr>
          <w:rFonts w:ascii="Times New Roman" w:hAnsi="Times New Roman" w:cs="Times New Roman"/>
          <w:sz w:val="28"/>
          <w:szCs w:val="28"/>
        </w:rPr>
        <w:t xml:space="preserve">. </w:t>
      </w:r>
      <w:r w:rsidRPr="0048062D">
        <w:rPr>
          <w:rFonts w:ascii="Times New Roman" w:hAnsi="Times New Roman" w:cs="Times New Roman"/>
          <w:sz w:val="28"/>
          <w:szCs w:val="28"/>
        </w:rPr>
        <w:t xml:space="preserve"> </w:t>
      </w:r>
      <w:r w:rsidRPr="00843149">
        <w:rPr>
          <w:rFonts w:ascii="Times New Roman" w:hAnsi="Times New Roman" w:cs="Times New Roman"/>
          <w:sz w:val="28"/>
          <w:szCs w:val="28"/>
        </w:rPr>
        <w:t xml:space="preserve">// </w:t>
      </w:r>
      <w:r w:rsidRPr="00843149">
        <w:rPr>
          <w:rFonts w:ascii="Times New Roman" w:hAnsi="Times New Roman" w:cs="Times New Roman"/>
          <w:iCs/>
          <w:sz w:val="28"/>
          <w:szCs w:val="28"/>
        </w:rPr>
        <w:t xml:space="preserve">ВВР. </w:t>
      </w:r>
      <w:r w:rsidRPr="00843149">
        <w:rPr>
          <w:rFonts w:ascii="Times New Roman" w:hAnsi="Times New Roman"/>
          <w:sz w:val="28"/>
          <w:szCs w:val="28"/>
        </w:rPr>
        <w:t>–</w:t>
      </w:r>
      <w:r w:rsidRPr="00843149">
        <w:rPr>
          <w:rFonts w:ascii="Times New Roman" w:hAnsi="Times New Roman" w:cs="Times New Roman"/>
          <w:iCs/>
          <w:sz w:val="28"/>
          <w:szCs w:val="28"/>
        </w:rPr>
        <w:t xml:space="preserve"> 2010. </w:t>
      </w:r>
      <w:r w:rsidRPr="00843149">
        <w:rPr>
          <w:rFonts w:ascii="Times New Roman" w:hAnsi="Times New Roman"/>
          <w:sz w:val="28"/>
          <w:szCs w:val="28"/>
        </w:rPr>
        <w:t>–</w:t>
      </w:r>
      <w:r w:rsidRPr="00843149">
        <w:rPr>
          <w:rFonts w:ascii="Times New Roman" w:hAnsi="Times New Roman" w:cs="Times New Roman"/>
          <w:iCs/>
          <w:sz w:val="28"/>
          <w:szCs w:val="28"/>
        </w:rPr>
        <w:t xml:space="preserve"> № 33.</w:t>
      </w:r>
      <w:r>
        <w:rPr>
          <w:rFonts w:ascii="Times New Roman" w:hAnsi="Times New Roman" w:cs="Times New Roman"/>
          <w:i/>
          <w:iCs/>
          <w:sz w:val="28"/>
          <w:szCs w:val="28"/>
        </w:rPr>
        <w:t xml:space="preserve"> </w:t>
      </w:r>
      <w:r w:rsidRPr="0048062D">
        <w:rPr>
          <w:rFonts w:ascii="Times New Roman" w:hAnsi="Times New Roman" w:cs="Times New Roman"/>
          <w:i/>
          <w:iCs/>
          <w:sz w:val="28"/>
          <w:szCs w:val="28"/>
        </w:rPr>
        <w:t xml:space="preserve"> </w:t>
      </w:r>
    </w:p>
    <w:p w:rsidR="006E3BAB" w:rsidRPr="00AD2410" w:rsidRDefault="006E3BAB" w:rsidP="009B4AA5">
      <w:pPr>
        <w:numPr>
          <w:ilvl w:val="0"/>
          <w:numId w:val="5"/>
        </w:numPr>
        <w:spacing w:after="0" w:line="360" w:lineRule="auto"/>
        <w:rPr>
          <w:sz w:val="24"/>
          <w:lang w:val="en-US"/>
        </w:rPr>
      </w:pPr>
      <w:r w:rsidRPr="000B0878">
        <w:rPr>
          <w:rFonts w:ascii="Times New Roman" w:hAnsi="Times New Roman"/>
          <w:color w:val="000000" w:themeColor="text1"/>
          <w:sz w:val="28"/>
          <w:szCs w:val="28"/>
        </w:rPr>
        <w:t>Марченко О.А.</w:t>
      </w:r>
      <w:r>
        <w:rPr>
          <w:rFonts w:ascii="Times New Roman" w:hAnsi="Times New Roman"/>
          <w:b/>
          <w:i/>
          <w:color w:val="000000" w:themeColor="text1"/>
          <w:sz w:val="28"/>
          <w:szCs w:val="28"/>
        </w:rPr>
        <w:t xml:space="preserve"> </w:t>
      </w:r>
      <w:r w:rsidRPr="000B0878">
        <w:rPr>
          <w:rFonts w:ascii="Times New Roman" w:hAnsi="Times New Roman"/>
          <w:color w:val="000000" w:themeColor="text1"/>
          <w:sz w:val="28"/>
          <w:szCs w:val="28"/>
        </w:rPr>
        <w:t>Фінансова криза в Україні: її наслідки та перспективи виходу з неї</w:t>
      </w:r>
      <w:r>
        <w:rPr>
          <w:rFonts w:ascii="Times New Roman" w:hAnsi="Times New Roman"/>
          <w:color w:val="000000" w:themeColor="text1"/>
          <w:sz w:val="28"/>
          <w:szCs w:val="28"/>
        </w:rPr>
        <w:t xml:space="preserve">.   </w:t>
      </w:r>
      <w:hyperlink r:id="rId11" w:history="1">
        <w:r w:rsidRPr="00AD2410">
          <w:rPr>
            <w:rStyle w:val="a8"/>
            <w:rFonts w:ascii="Times New Roman" w:hAnsi="Times New Roman"/>
            <w:color w:val="000000" w:themeColor="text1"/>
            <w:sz w:val="28"/>
            <w:szCs w:val="28"/>
            <w:u w:val="none"/>
            <w:lang w:val="en-US"/>
          </w:rPr>
          <w:t>http://udau.edu.ua/library.php?pid=751</w:t>
        </w:r>
      </w:hyperlink>
      <w:r w:rsidRPr="00AD2410">
        <w:t>.</w:t>
      </w:r>
    </w:p>
    <w:p w:rsidR="006E3BAB" w:rsidRPr="00843149" w:rsidRDefault="006E3BAB" w:rsidP="009B4AA5">
      <w:pPr>
        <w:pStyle w:val="HTML"/>
        <w:numPr>
          <w:ilvl w:val="0"/>
          <w:numId w:val="5"/>
        </w:numPr>
        <w:tabs>
          <w:tab w:val="clear" w:pos="916"/>
          <w:tab w:val="left" w:pos="426"/>
        </w:tabs>
        <w:spacing w:line="360" w:lineRule="auto"/>
        <w:rPr>
          <w:rFonts w:ascii="Times New Roman" w:hAnsi="Times New Roman" w:cs="Times New Roman"/>
          <w:color w:val="000000" w:themeColor="text1"/>
          <w:sz w:val="28"/>
          <w:szCs w:val="28"/>
        </w:rPr>
      </w:pPr>
      <w:r w:rsidRPr="00843149">
        <w:rPr>
          <w:rFonts w:ascii="Times New Roman" w:hAnsi="Times New Roman" w:cs="Times New Roman"/>
          <w:color w:val="000000" w:themeColor="text1"/>
          <w:sz w:val="28"/>
          <w:szCs w:val="28"/>
        </w:rPr>
        <w:t>Основні показники економічного і соц</w:t>
      </w:r>
      <w:r>
        <w:rPr>
          <w:rFonts w:ascii="Times New Roman" w:hAnsi="Times New Roman" w:cs="Times New Roman"/>
          <w:color w:val="000000" w:themeColor="text1"/>
          <w:sz w:val="28"/>
          <w:szCs w:val="28"/>
        </w:rPr>
        <w:t>іального стану України 2001-2009</w:t>
      </w:r>
      <w:r w:rsidRPr="00843149">
        <w:rPr>
          <w:rFonts w:ascii="Times New Roman" w:hAnsi="Times New Roman" w:cs="Times New Roman"/>
          <w:color w:val="000000" w:themeColor="text1"/>
          <w:sz w:val="28"/>
          <w:szCs w:val="28"/>
        </w:rPr>
        <w:t xml:space="preserve"> роки</w:t>
      </w:r>
      <w:r w:rsidRPr="00843149">
        <w:rPr>
          <w:rStyle w:val="printonly"/>
          <w:rFonts w:ascii="Times New Roman" w:hAnsi="Times New Roman" w:cs="Times New Roman"/>
          <w:color w:val="000000" w:themeColor="text1"/>
          <w:sz w:val="28"/>
          <w:szCs w:val="28"/>
        </w:rPr>
        <w:t xml:space="preserve">. </w:t>
      </w:r>
      <w:hyperlink r:id="rId12" w:history="1">
        <w:r w:rsidRPr="00AD2410">
          <w:rPr>
            <w:rStyle w:val="a8"/>
            <w:rFonts w:ascii="Times New Roman" w:hAnsi="Times New Roman"/>
            <w:color w:val="000000" w:themeColor="text1"/>
            <w:sz w:val="28"/>
            <w:szCs w:val="28"/>
            <w:u w:val="none"/>
          </w:rPr>
          <w:t>//www.bank.gov.ua</w:t>
        </w:r>
      </w:hyperlink>
      <w:r w:rsidRPr="00AD2410">
        <w:rPr>
          <w:rStyle w:val="reference-accessdate"/>
          <w:rFonts w:ascii="Times New Roman" w:hAnsi="Times New Roman" w:cs="Times New Roman"/>
          <w:color w:val="000000" w:themeColor="text1"/>
          <w:sz w:val="28"/>
          <w:szCs w:val="28"/>
        </w:rPr>
        <w:t>.</w:t>
      </w:r>
    </w:p>
    <w:p w:rsidR="006E3BAB" w:rsidRPr="0048062D" w:rsidRDefault="006E3BAB" w:rsidP="009B4AA5">
      <w:pPr>
        <w:numPr>
          <w:ilvl w:val="0"/>
          <w:numId w:val="5"/>
        </w:numPr>
        <w:autoSpaceDE w:val="0"/>
        <w:autoSpaceDN w:val="0"/>
        <w:adjustRightInd w:val="0"/>
        <w:spacing w:after="0" w:line="360" w:lineRule="auto"/>
        <w:rPr>
          <w:rFonts w:ascii="Times New Roman" w:hAnsi="Times New Roman"/>
          <w:sz w:val="28"/>
          <w:szCs w:val="28"/>
          <w:lang w:eastAsia="uk-UA"/>
        </w:rPr>
      </w:pPr>
      <w:r w:rsidRPr="0048062D">
        <w:rPr>
          <w:rFonts w:ascii="Times New Roman" w:hAnsi="Times New Roman"/>
          <w:sz w:val="28"/>
          <w:szCs w:val="28"/>
          <w:lang w:eastAsia="uk-UA"/>
        </w:rPr>
        <w:t>Стратегічні виклики ХХІ століття суспільству та економіці України: в</w:t>
      </w:r>
    </w:p>
    <w:p w:rsidR="006E3BAB" w:rsidRPr="00843149" w:rsidRDefault="006E3BAB" w:rsidP="009B4AA5">
      <w:pPr>
        <w:autoSpaceDE w:val="0"/>
        <w:autoSpaceDN w:val="0"/>
        <w:adjustRightInd w:val="0"/>
        <w:spacing w:after="0" w:line="360" w:lineRule="auto"/>
        <w:ind w:left="360"/>
        <w:rPr>
          <w:rFonts w:ascii="Times New Roman" w:hAnsi="Times New Roman"/>
          <w:color w:val="000000" w:themeColor="text1"/>
          <w:sz w:val="28"/>
          <w:szCs w:val="28"/>
        </w:rPr>
      </w:pPr>
      <w:r w:rsidRPr="00843149">
        <w:rPr>
          <w:rFonts w:ascii="Times New Roman" w:hAnsi="Times New Roman"/>
          <w:color w:val="000000" w:themeColor="text1"/>
          <w:sz w:val="28"/>
          <w:szCs w:val="28"/>
          <w:lang w:eastAsia="uk-UA"/>
        </w:rPr>
        <w:t>3 т. / за ред. акад. НАН України В.М. Гейця, акад. НАН України В.П. Семиноженко, чл.-</w:t>
      </w:r>
      <w:r w:rsidR="009B4AA5">
        <w:rPr>
          <w:rFonts w:ascii="Times New Roman" w:hAnsi="Times New Roman"/>
          <w:color w:val="000000" w:themeColor="text1"/>
          <w:sz w:val="28"/>
          <w:szCs w:val="28"/>
          <w:lang w:eastAsia="uk-UA"/>
        </w:rPr>
        <w:t xml:space="preserve"> </w:t>
      </w:r>
      <w:r w:rsidRPr="00843149">
        <w:rPr>
          <w:rFonts w:ascii="Times New Roman" w:hAnsi="Times New Roman"/>
          <w:color w:val="000000" w:themeColor="text1"/>
          <w:sz w:val="28"/>
          <w:szCs w:val="28"/>
          <w:lang w:eastAsia="uk-UA"/>
        </w:rPr>
        <w:t>кор. НАН України Б.Є. Кваснюка. – К.: Фенікс, 2007.</w:t>
      </w:r>
    </w:p>
    <w:p w:rsidR="006E3BAB" w:rsidRPr="00AD2410" w:rsidRDefault="006E3BAB" w:rsidP="009B4AA5">
      <w:pPr>
        <w:numPr>
          <w:ilvl w:val="0"/>
          <w:numId w:val="5"/>
        </w:numPr>
        <w:autoSpaceDE w:val="0"/>
        <w:autoSpaceDN w:val="0"/>
        <w:adjustRightInd w:val="0"/>
        <w:spacing w:after="0" w:line="360" w:lineRule="auto"/>
        <w:rPr>
          <w:rFonts w:ascii="Times New Roman" w:hAnsi="Times New Roman"/>
          <w:color w:val="000000" w:themeColor="text1"/>
          <w:sz w:val="28"/>
          <w:szCs w:val="28"/>
        </w:rPr>
      </w:pPr>
      <w:r w:rsidRPr="00843149">
        <w:rPr>
          <w:rFonts w:ascii="Times New Roman" w:hAnsi="Times New Roman"/>
          <w:color w:val="000000" w:themeColor="text1"/>
          <w:sz w:val="28"/>
          <w:szCs w:val="28"/>
          <w:lang w:eastAsia="uk-UA"/>
        </w:rPr>
        <w:t>Офіційний веб-сайт Державного комітету статистики України //</w:t>
      </w:r>
      <w:hyperlink r:id="rId13" w:history="1">
        <w:r w:rsidRPr="00AD2410">
          <w:rPr>
            <w:rStyle w:val="a8"/>
            <w:rFonts w:ascii="Times New Roman" w:hAnsi="Times New Roman"/>
            <w:color w:val="000000" w:themeColor="text1"/>
            <w:sz w:val="28"/>
            <w:szCs w:val="28"/>
            <w:u w:val="none"/>
            <w:lang w:eastAsia="uk-UA"/>
          </w:rPr>
          <w:t>www.ukrcensus.gov.ua/eng</w:t>
        </w:r>
      </w:hyperlink>
      <w:r w:rsidRPr="00AD2410">
        <w:rPr>
          <w:rFonts w:ascii="Times New Roman" w:hAnsi="Times New Roman"/>
          <w:color w:val="000000" w:themeColor="text1"/>
          <w:sz w:val="28"/>
          <w:szCs w:val="28"/>
          <w:lang w:eastAsia="uk-UA"/>
        </w:rPr>
        <w:t>.</w:t>
      </w:r>
    </w:p>
    <w:p w:rsidR="006E3BAB" w:rsidRDefault="006E3BAB" w:rsidP="009B4AA5">
      <w:pPr>
        <w:numPr>
          <w:ilvl w:val="0"/>
          <w:numId w:val="5"/>
        </w:numPr>
        <w:autoSpaceDE w:val="0"/>
        <w:autoSpaceDN w:val="0"/>
        <w:adjustRightInd w:val="0"/>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lang w:eastAsia="uk-UA"/>
        </w:rPr>
        <w:t xml:space="preserve"> </w:t>
      </w:r>
      <w:r w:rsidRPr="006D7168">
        <w:rPr>
          <w:rFonts w:ascii="Times New Roman" w:hAnsi="Times New Roman"/>
          <w:color w:val="000000" w:themeColor="text1"/>
          <w:sz w:val="28"/>
          <w:szCs w:val="28"/>
        </w:rPr>
        <w:t xml:space="preserve">Офіційний веб-сайт Міністерства палива та енергетики </w:t>
      </w:r>
      <w:r w:rsidRPr="00261A91">
        <w:rPr>
          <w:rFonts w:ascii="Times New Roman" w:hAnsi="Times New Roman"/>
          <w:color w:val="000000" w:themeColor="text1"/>
          <w:sz w:val="28"/>
          <w:szCs w:val="28"/>
        </w:rPr>
        <w:t>http://mpe.kmu.gov.ua</w:t>
      </w:r>
      <w:r>
        <w:rPr>
          <w:rFonts w:ascii="Times New Roman" w:hAnsi="Times New Roman"/>
          <w:color w:val="000000" w:themeColor="text1"/>
          <w:sz w:val="28"/>
          <w:szCs w:val="28"/>
        </w:rPr>
        <w:t>.</w:t>
      </w:r>
    </w:p>
    <w:p w:rsidR="006E3BAB" w:rsidRPr="00261A91" w:rsidRDefault="006E3BAB" w:rsidP="009B4AA5">
      <w:pPr>
        <w:numPr>
          <w:ilvl w:val="0"/>
          <w:numId w:val="5"/>
        </w:numPr>
        <w:autoSpaceDE w:val="0"/>
        <w:autoSpaceDN w:val="0"/>
        <w:adjustRightInd w:val="0"/>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61A91">
        <w:rPr>
          <w:rFonts w:ascii="Times New Roman" w:hAnsi="Times New Roman"/>
          <w:color w:val="000000" w:themeColor="text1"/>
          <w:sz w:val="28"/>
          <w:szCs w:val="28"/>
        </w:rPr>
        <w:t xml:space="preserve">Офіційний </w:t>
      </w:r>
      <w:r>
        <w:rPr>
          <w:rFonts w:ascii="Times New Roman" w:hAnsi="Times New Roman"/>
          <w:color w:val="000000" w:themeColor="text1"/>
          <w:sz w:val="28"/>
          <w:szCs w:val="28"/>
        </w:rPr>
        <w:t>веб-</w:t>
      </w:r>
      <w:r w:rsidRPr="00261A91">
        <w:rPr>
          <w:rFonts w:ascii="Times New Roman" w:hAnsi="Times New Roman"/>
          <w:color w:val="000000" w:themeColor="text1"/>
          <w:sz w:val="28"/>
          <w:szCs w:val="28"/>
        </w:rPr>
        <w:t>сайт  Укренерго http://www.ukrenergo.energy.gov.ua.</w:t>
      </w:r>
    </w:p>
    <w:p w:rsidR="006E3BAB" w:rsidRPr="00AD2410" w:rsidRDefault="006E3BAB" w:rsidP="009B4AA5">
      <w:pPr>
        <w:pStyle w:val="a9"/>
        <w:numPr>
          <w:ilvl w:val="0"/>
          <w:numId w:val="5"/>
        </w:numPr>
        <w:autoSpaceDE w:val="0"/>
        <w:autoSpaceDN w:val="0"/>
        <w:adjustRightInd w:val="0"/>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lang w:eastAsia="uk-UA"/>
        </w:rPr>
        <w:t xml:space="preserve"> </w:t>
      </w:r>
      <w:r w:rsidRPr="00843149">
        <w:rPr>
          <w:rFonts w:ascii="Times New Roman" w:hAnsi="Times New Roman"/>
          <w:color w:val="000000" w:themeColor="text1"/>
          <w:sz w:val="28"/>
          <w:szCs w:val="28"/>
          <w:lang w:eastAsia="uk-UA"/>
        </w:rPr>
        <w:t xml:space="preserve">Урядовий портал: </w:t>
      </w:r>
      <w:r w:rsidR="00AD2410">
        <w:rPr>
          <w:rFonts w:ascii="Times New Roman" w:hAnsi="Times New Roman"/>
          <w:color w:val="000000" w:themeColor="text1"/>
          <w:sz w:val="28"/>
          <w:szCs w:val="28"/>
          <w:lang w:eastAsia="uk-UA"/>
        </w:rPr>
        <w:t>//</w:t>
      </w:r>
      <w:hyperlink r:id="rId14" w:history="1">
        <w:r w:rsidRPr="00AD2410">
          <w:rPr>
            <w:rStyle w:val="a8"/>
            <w:rFonts w:ascii="Times New Roman" w:hAnsi="Times New Roman"/>
            <w:color w:val="000000" w:themeColor="text1"/>
            <w:sz w:val="28"/>
            <w:szCs w:val="28"/>
            <w:u w:val="none"/>
            <w:lang w:eastAsia="uk-UA"/>
          </w:rPr>
          <w:t>www.kmu.gov.ua</w:t>
        </w:r>
      </w:hyperlink>
      <w:r w:rsidRPr="00AD2410">
        <w:rPr>
          <w:rFonts w:ascii="Times New Roman" w:hAnsi="Times New Roman"/>
          <w:color w:val="000000" w:themeColor="text1"/>
          <w:sz w:val="28"/>
          <w:szCs w:val="28"/>
          <w:lang w:eastAsia="uk-UA"/>
        </w:rPr>
        <w:t>.</w:t>
      </w:r>
    </w:p>
    <w:p w:rsidR="006E3BAB" w:rsidRDefault="006E3BAB" w:rsidP="006E3BAB">
      <w:pPr>
        <w:autoSpaceDE w:val="0"/>
        <w:autoSpaceDN w:val="0"/>
        <w:adjustRightInd w:val="0"/>
        <w:spacing w:after="0" w:line="360" w:lineRule="auto"/>
        <w:jc w:val="both"/>
        <w:rPr>
          <w:rFonts w:ascii="Times New Roman" w:hAnsi="Times New Roman"/>
          <w:b/>
          <w:bCs/>
          <w:i/>
          <w:sz w:val="28"/>
          <w:szCs w:val="28"/>
        </w:rPr>
      </w:pPr>
      <w:r w:rsidRPr="00B6576B">
        <w:rPr>
          <w:rFonts w:ascii="Times New Roman" w:hAnsi="Times New Roman"/>
          <w:b/>
          <w:bCs/>
          <w:i/>
          <w:color w:val="000000"/>
          <w:sz w:val="28"/>
          <w:szCs w:val="28"/>
        </w:rPr>
        <w:t>Шот А.П.</w:t>
      </w:r>
      <w:r>
        <w:rPr>
          <w:rFonts w:ascii="Times New Roman" w:hAnsi="Times New Roman"/>
          <w:b/>
          <w:bCs/>
          <w:i/>
          <w:color w:val="000000"/>
          <w:sz w:val="28"/>
          <w:szCs w:val="28"/>
        </w:rPr>
        <w:t xml:space="preserve">, Петецкий  Игнаций. </w:t>
      </w:r>
      <w:r w:rsidRPr="00B6576B">
        <w:rPr>
          <w:rFonts w:ascii="Times New Roman" w:hAnsi="Times New Roman"/>
          <w:b/>
          <w:bCs/>
          <w:i/>
          <w:color w:val="000000"/>
          <w:sz w:val="28"/>
          <w:szCs w:val="28"/>
        </w:rPr>
        <w:t xml:space="preserve"> П</w:t>
      </w:r>
      <w:r w:rsidR="00ED2B49">
        <w:rPr>
          <w:rFonts w:ascii="Times New Roman" w:hAnsi="Times New Roman"/>
          <w:b/>
          <w:bCs/>
          <w:i/>
          <w:color w:val="000000"/>
          <w:sz w:val="28"/>
          <w:szCs w:val="28"/>
        </w:rPr>
        <w:t>редпос</w:t>
      </w:r>
      <w:r w:rsidR="00ED2B49" w:rsidRPr="00B6576B">
        <w:rPr>
          <w:rFonts w:ascii="Times New Roman" w:hAnsi="Times New Roman"/>
          <w:b/>
          <w:bCs/>
          <w:i/>
          <w:sz w:val="28"/>
          <w:szCs w:val="28"/>
        </w:rPr>
        <w:t>ы</w:t>
      </w:r>
      <w:r w:rsidR="00ED2B49">
        <w:rPr>
          <w:rFonts w:ascii="Times New Roman" w:hAnsi="Times New Roman"/>
          <w:b/>
          <w:bCs/>
          <w:i/>
          <w:sz w:val="28"/>
          <w:szCs w:val="28"/>
        </w:rPr>
        <w:t>лки</w:t>
      </w:r>
      <w:r w:rsidRPr="00B6576B">
        <w:rPr>
          <w:rFonts w:ascii="Times New Roman" w:hAnsi="Times New Roman"/>
          <w:b/>
          <w:bCs/>
          <w:i/>
          <w:sz w:val="28"/>
          <w:szCs w:val="28"/>
        </w:rPr>
        <w:t xml:space="preserve"> стабилизации национальной </w:t>
      </w:r>
      <w:r w:rsidRPr="00B6576B">
        <w:rPr>
          <w:rFonts w:ascii="Times New Roman" w:hAnsi="Times New Roman"/>
          <w:bCs/>
          <w:i/>
          <w:sz w:val="28"/>
          <w:szCs w:val="28"/>
        </w:rPr>
        <w:t xml:space="preserve"> </w:t>
      </w:r>
      <w:r w:rsidRPr="00B6576B">
        <w:rPr>
          <w:rFonts w:ascii="Times New Roman" w:hAnsi="Times New Roman"/>
          <w:b/>
          <w:bCs/>
          <w:i/>
          <w:sz w:val="28"/>
          <w:szCs w:val="28"/>
        </w:rPr>
        <w:t>экономики и макроэкономические приоритеты</w:t>
      </w:r>
      <w:r>
        <w:rPr>
          <w:rFonts w:ascii="Times New Roman" w:hAnsi="Times New Roman"/>
          <w:b/>
          <w:bCs/>
          <w:i/>
          <w:sz w:val="28"/>
          <w:szCs w:val="28"/>
        </w:rPr>
        <w:t>.</w:t>
      </w:r>
    </w:p>
    <w:p w:rsidR="006E3BAB" w:rsidRDefault="006E3BAB" w:rsidP="006E3BAB">
      <w:pPr>
        <w:ind w:firstLine="708"/>
        <w:jc w:val="both"/>
        <w:rPr>
          <w:rFonts w:ascii="Times New Roman" w:hAnsi="Times New Roman"/>
          <w:i/>
          <w:sz w:val="28"/>
        </w:rPr>
      </w:pPr>
      <w:r>
        <w:rPr>
          <w:rFonts w:ascii="Times New Roman" w:hAnsi="Times New Roman"/>
          <w:i/>
          <w:sz w:val="28"/>
        </w:rPr>
        <w:lastRenderedPageBreak/>
        <w:t>Произведен  макро</w:t>
      </w:r>
      <w:r>
        <w:rPr>
          <w:bCs/>
          <w:sz w:val="28"/>
          <w:szCs w:val="28"/>
        </w:rPr>
        <w:t>э</w:t>
      </w:r>
      <w:r>
        <w:rPr>
          <w:rFonts w:ascii="Times New Roman" w:hAnsi="Times New Roman"/>
          <w:i/>
          <w:sz w:val="28"/>
        </w:rPr>
        <w:t>кономический анали</w:t>
      </w:r>
      <w:r w:rsidRPr="006641F3">
        <w:rPr>
          <w:rFonts w:ascii="Times New Roman" w:hAnsi="Times New Roman"/>
          <w:i/>
          <w:sz w:val="28"/>
        </w:rPr>
        <w:t>з</w:t>
      </w:r>
      <w:r>
        <w:rPr>
          <w:rFonts w:ascii="Times New Roman" w:hAnsi="Times New Roman"/>
          <w:i/>
          <w:sz w:val="28"/>
        </w:rPr>
        <w:t xml:space="preserve"> основ</w:t>
      </w:r>
      <w:r w:rsidRPr="00B6576B">
        <w:rPr>
          <w:rFonts w:ascii="Times New Roman" w:hAnsi="Times New Roman"/>
          <w:i/>
          <w:sz w:val="28"/>
        </w:rPr>
        <w:t>н</w:t>
      </w:r>
      <w:r w:rsidRPr="00B6576B">
        <w:rPr>
          <w:rFonts w:ascii="Times New Roman" w:hAnsi="Times New Roman"/>
          <w:bCs/>
          <w:i/>
          <w:sz w:val="28"/>
          <w:szCs w:val="28"/>
        </w:rPr>
        <w:t>ы</w:t>
      </w:r>
      <w:r>
        <w:rPr>
          <w:rFonts w:ascii="Times New Roman" w:hAnsi="Times New Roman"/>
          <w:i/>
          <w:sz w:val="28"/>
        </w:rPr>
        <w:t xml:space="preserve">х показателей розвития национальной  </w:t>
      </w:r>
      <w:r>
        <w:rPr>
          <w:bCs/>
          <w:sz w:val="28"/>
          <w:szCs w:val="28"/>
        </w:rPr>
        <w:t>э</w:t>
      </w:r>
      <w:r>
        <w:rPr>
          <w:rFonts w:ascii="Times New Roman" w:hAnsi="Times New Roman"/>
          <w:i/>
          <w:sz w:val="28"/>
        </w:rPr>
        <w:t>кономики, дана</w:t>
      </w:r>
      <w:r w:rsidRPr="006641F3">
        <w:rPr>
          <w:rFonts w:ascii="Times New Roman" w:hAnsi="Times New Roman"/>
          <w:i/>
          <w:sz w:val="28"/>
        </w:rPr>
        <w:t xml:space="preserve"> </w:t>
      </w:r>
      <w:r>
        <w:rPr>
          <w:rFonts w:ascii="Times New Roman" w:hAnsi="Times New Roman"/>
          <w:i/>
          <w:sz w:val="28"/>
        </w:rPr>
        <w:t>им оценка, определен</w:t>
      </w:r>
      <w:r w:rsidRPr="00B6576B">
        <w:rPr>
          <w:rFonts w:ascii="Times New Roman" w:hAnsi="Times New Roman"/>
          <w:bCs/>
          <w:i/>
          <w:sz w:val="28"/>
          <w:szCs w:val="28"/>
        </w:rPr>
        <w:t>ы</w:t>
      </w:r>
      <w:r>
        <w:rPr>
          <w:rFonts w:ascii="Times New Roman" w:hAnsi="Times New Roman"/>
          <w:i/>
          <w:sz w:val="28"/>
        </w:rPr>
        <w:t xml:space="preserve"> перспектив</w:t>
      </w:r>
      <w:r w:rsidRPr="00B6576B">
        <w:rPr>
          <w:rFonts w:ascii="Times New Roman" w:hAnsi="Times New Roman"/>
          <w:bCs/>
          <w:i/>
          <w:sz w:val="28"/>
          <w:szCs w:val="28"/>
        </w:rPr>
        <w:t>ы</w:t>
      </w:r>
      <w:r>
        <w:rPr>
          <w:rFonts w:ascii="Times New Roman" w:hAnsi="Times New Roman"/>
          <w:i/>
          <w:sz w:val="28"/>
        </w:rPr>
        <w:t xml:space="preserve"> и приоритет</w:t>
      </w:r>
      <w:r w:rsidRPr="00B6576B">
        <w:rPr>
          <w:rFonts w:ascii="Times New Roman" w:hAnsi="Times New Roman"/>
          <w:bCs/>
          <w:i/>
          <w:sz w:val="28"/>
          <w:szCs w:val="28"/>
        </w:rPr>
        <w:t>ы</w:t>
      </w:r>
      <w:r>
        <w:rPr>
          <w:rFonts w:ascii="Times New Roman" w:hAnsi="Times New Roman"/>
          <w:i/>
          <w:sz w:val="28"/>
        </w:rPr>
        <w:t xml:space="preserve"> розвития</w:t>
      </w:r>
      <w:r w:rsidRPr="006641F3">
        <w:rPr>
          <w:rFonts w:ascii="Times New Roman" w:hAnsi="Times New Roman"/>
          <w:i/>
          <w:sz w:val="28"/>
        </w:rPr>
        <w:t xml:space="preserve"> </w:t>
      </w:r>
      <w:r>
        <w:rPr>
          <w:rFonts w:ascii="Times New Roman" w:hAnsi="Times New Roman"/>
          <w:i/>
          <w:sz w:val="28"/>
        </w:rPr>
        <w:t xml:space="preserve">отечественной </w:t>
      </w:r>
      <w:r>
        <w:rPr>
          <w:bCs/>
          <w:sz w:val="28"/>
          <w:szCs w:val="28"/>
        </w:rPr>
        <w:t>э</w:t>
      </w:r>
      <w:r w:rsidRPr="006641F3">
        <w:rPr>
          <w:rFonts w:ascii="Times New Roman" w:hAnsi="Times New Roman"/>
          <w:i/>
          <w:sz w:val="28"/>
        </w:rPr>
        <w:t>кономки</w:t>
      </w:r>
      <w:r>
        <w:rPr>
          <w:rFonts w:ascii="Times New Roman" w:hAnsi="Times New Roman"/>
          <w:i/>
          <w:sz w:val="28"/>
        </w:rPr>
        <w:t xml:space="preserve"> в условиях </w:t>
      </w:r>
      <w:r w:rsidRPr="00B6576B">
        <w:rPr>
          <w:rFonts w:ascii="Times New Roman" w:hAnsi="Times New Roman"/>
          <w:i/>
          <w:sz w:val="28"/>
        </w:rPr>
        <w:t>в</w:t>
      </w:r>
      <w:r w:rsidRPr="00B6576B">
        <w:rPr>
          <w:rFonts w:ascii="Times New Roman" w:hAnsi="Times New Roman"/>
          <w:bCs/>
          <w:i/>
          <w:sz w:val="28"/>
          <w:szCs w:val="28"/>
        </w:rPr>
        <w:t>ы</w:t>
      </w:r>
      <w:r>
        <w:rPr>
          <w:rFonts w:ascii="Times New Roman" w:hAnsi="Times New Roman"/>
          <w:i/>
          <w:sz w:val="28"/>
        </w:rPr>
        <w:t>хода из кризиса</w:t>
      </w:r>
      <w:r w:rsidRPr="006641F3">
        <w:rPr>
          <w:rFonts w:ascii="Times New Roman" w:hAnsi="Times New Roman"/>
          <w:i/>
          <w:sz w:val="28"/>
        </w:rPr>
        <w:t>.</w:t>
      </w:r>
    </w:p>
    <w:p w:rsidR="006E3BAB" w:rsidRPr="00B6576B" w:rsidRDefault="006E3BAB" w:rsidP="006E3BAB">
      <w:pPr>
        <w:spacing w:after="0" w:line="360" w:lineRule="auto"/>
        <w:rPr>
          <w:rFonts w:ascii="Times New Roman" w:hAnsi="Times New Roman"/>
          <w:b/>
          <w:sz w:val="28"/>
        </w:rPr>
      </w:pPr>
      <w:r w:rsidRPr="00B6576B">
        <w:rPr>
          <w:rFonts w:ascii="Times New Roman" w:hAnsi="Times New Roman"/>
          <w:b/>
          <w:sz w:val="28"/>
        </w:rPr>
        <w:t>Ключев</w:t>
      </w:r>
      <w:r w:rsidRPr="00B6576B">
        <w:rPr>
          <w:rFonts w:ascii="Times New Roman" w:hAnsi="Times New Roman"/>
          <w:b/>
          <w:bCs/>
          <w:sz w:val="28"/>
          <w:szCs w:val="28"/>
        </w:rPr>
        <w:t>ые</w:t>
      </w:r>
      <w:r w:rsidRPr="00B6576B">
        <w:rPr>
          <w:rFonts w:ascii="Times New Roman" w:hAnsi="Times New Roman"/>
          <w:b/>
          <w:sz w:val="28"/>
        </w:rPr>
        <w:t xml:space="preserve"> слова: </w:t>
      </w:r>
      <w:r w:rsidRPr="00B6576B">
        <w:rPr>
          <w:rFonts w:ascii="Times New Roman" w:hAnsi="Times New Roman"/>
          <w:sz w:val="28"/>
        </w:rPr>
        <w:t xml:space="preserve">национальная </w:t>
      </w:r>
      <w:r w:rsidRPr="00B6576B">
        <w:rPr>
          <w:bCs/>
          <w:sz w:val="28"/>
          <w:szCs w:val="28"/>
        </w:rPr>
        <w:t>э</w:t>
      </w:r>
      <w:r w:rsidRPr="00B6576B">
        <w:rPr>
          <w:rFonts w:ascii="Times New Roman" w:hAnsi="Times New Roman"/>
          <w:sz w:val="28"/>
        </w:rPr>
        <w:t xml:space="preserve">кономика, </w:t>
      </w:r>
      <w:r w:rsidRPr="00B6576B">
        <w:rPr>
          <w:bCs/>
          <w:sz w:val="28"/>
          <w:szCs w:val="28"/>
        </w:rPr>
        <w:t>э</w:t>
      </w:r>
      <w:r w:rsidRPr="00B6576B">
        <w:rPr>
          <w:rFonts w:ascii="Times New Roman" w:hAnsi="Times New Roman"/>
          <w:sz w:val="28"/>
        </w:rPr>
        <w:t>кономический кризис, фактор</w:t>
      </w:r>
      <w:r w:rsidRPr="00B6576B">
        <w:rPr>
          <w:rFonts w:ascii="Times New Roman" w:hAnsi="Times New Roman"/>
          <w:bCs/>
          <w:sz w:val="28"/>
          <w:szCs w:val="28"/>
        </w:rPr>
        <w:t>ы</w:t>
      </w:r>
      <w:r w:rsidRPr="00B6576B">
        <w:rPr>
          <w:rFonts w:ascii="Times New Roman" w:hAnsi="Times New Roman"/>
          <w:sz w:val="28"/>
        </w:rPr>
        <w:t xml:space="preserve"> стабилизации, приоритет</w:t>
      </w:r>
      <w:r w:rsidRPr="00B6576B">
        <w:rPr>
          <w:rFonts w:ascii="Times New Roman" w:hAnsi="Times New Roman"/>
          <w:bCs/>
          <w:sz w:val="28"/>
          <w:szCs w:val="28"/>
        </w:rPr>
        <w:t>ы</w:t>
      </w:r>
      <w:r>
        <w:rPr>
          <w:rFonts w:ascii="Times New Roman" w:hAnsi="Times New Roman"/>
          <w:sz w:val="28"/>
        </w:rPr>
        <w:t xml:space="preserve"> ра</w:t>
      </w:r>
      <w:r w:rsidRPr="00B6576B">
        <w:rPr>
          <w:rFonts w:ascii="Times New Roman" w:hAnsi="Times New Roman"/>
          <w:sz w:val="28"/>
        </w:rPr>
        <w:t>звития.</w:t>
      </w:r>
    </w:p>
    <w:p w:rsidR="006E3BAB" w:rsidRPr="00797A39" w:rsidRDefault="006E3BAB" w:rsidP="00A265A0">
      <w:pPr>
        <w:rPr>
          <w:rFonts w:ascii="Times New Roman" w:hAnsi="Times New Roman"/>
          <w:b/>
          <w:sz w:val="28"/>
          <w:szCs w:val="28"/>
          <w:lang w:val="en-US"/>
        </w:rPr>
      </w:pPr>
      <w:r w:rsidRPr="00797A39">
        <w:rPr>
          <w:rFonts w:ascii="Times New Roman" w:hAnsi="Times New Roman"/>
          <w:b/>
          <w:sz w:val="28"/>
          <w:szCs w:val="28"/>
          <w:lang w:val="en-GB"/>
        </w:rPr>
        <w:t>Shot A.</w:t>
      </w:r>
      <w:r>
        <w:rPr>
          <w:rFonts w:ascii="Times New Roman" w:hAnsi="Times New Roman"/>
          <w:b/>
          <w:sz w:val="28"/>
          <w:szCs w:val="28"/>
        </w:rPr>
        <w:t xml:space="preserve"> </w:t>
      </w:r>
      <w:r w:rsidRPr="00797A39">
        <w:rPr>
          <w:rFonts w:ascii="Times New Roman" w:hAnsi="Times New Roman"/>
          <w:b/>
          <w:sz w:val="28"/>
          <w:szCs w:val="28"/>
          <w:lang w:val="en-GB"/>
        </w:rPr>
        <w:t>P</w:t>
      </w:r>
      <w:r w:rsidRPr="00797A39">
        <w:rPr>
          <w:rFonts w:ascii="Times New Roman" w:hAnsi="Times New Roman"/>
          <w:b/>
          <w:sz w:val="28"/>
          <w:szCs w:val="28"/>
        </w:rPr>
        <w:t>.</w:t>
      </w:r>
      <w:r>
        <w:rPr>
          <w:rFonts w:ascii="Times New Roman" w:hAnsi="Times New Roman"/>
          <w:b/>
          <w:sz w:val="28"/>
          <w:szCs w:val="28"/>
        </w:rPr>
        <w:t>, I.</w:t>
      </w:r>
      <w:r>
        <w:rPr>
          <w:rFonts w:ascii="Times New Roman" w:hAnsi="Times New Roman"/>
          <w:b/>
          <w:sz w:val="28"/>
          <w:szCs w:val="28"/>
          <w:lang w:val="en-US"/>
        </w:rPr>
        <w:t xml:space="preserve"> Petecki.</w:t>
      </w:r>
      <w:r w:rsidRPr="00797A39">
        <w:rPr>
          <w:rFonts w:ascii="Times New Roman" w:hAnsi="Times New Roman"/>
          <w:b/>
          <w:sz w:val="28"/>
          <w:szCs w:val="28"/>
          <w:lang w:val="en-US"/>
        </w:rPr>
        <w:t xml:space="preserve"> </w:t>
      </w:r>
      <w:r w:rsidR="00E51BD1">
        <w:rPr>
          <w:rFonts w:ascii="Times New Roman" w:hAnsi="Times New Roman"/>
          <w:b/>
          <w:sz w:val="28"/>
          <w:szCs w:val="28"/>
          <w:lang w:val="en-US"/>
        </w:rPr>
        <w:t>Background</w:t>
      </w:r>
      <w:r w:rsidR="00A265A0">
        <w:rPr>
          <w:rFonts w:ascii="Times New Roman" w:hAnsi="Times New Roman"/>
          <w:b/>
          <w:sz w:val="28"/>
          <w:szCs w:val="28"/>
          <w:lang w:val="en-US"/>
        </w:rPr>
        <w:t xml:space="preserve"> </w:t>
      </w:r>
      <w:r w:rsidRPr="00797A39">
        <w:rPr>
          <w:rFonts w:ascii="Times New Roman" w:hAnsi="Times New Roman"/>
          <w:b/>
          <w:sz w:val="28"/>
          <w:szCs w:val="28"/>
          <w:lang w:val="en-US"/>
        </w:rPr>
        <w:t>of national economy stabilization and macroeconomic priorities</w:t>
      </w:r>
    </w:p>
    <w:p w:rsidR="006E3BAB" w:rsidRPr="00797A39" w:rsidRDefault="006E3BAB" w:rsidP="006E3BAB">
      <w:pPr>
        <w:spacing w:after="0" w:line="360" w:lineRule="auto"/>
        <w:jc w:val="both"/>
        <w:rPr>
          <w:rFonts w:ascii="Times New Roman" w:hAnsi="Times New Roman"/>
          <w:sz w:val="28"/>
          <w:szCs w:val="28"/>
          <w:lang w:val="en-US"/>
        </w:rPr>
      </w:pPr>
      <w:r w:rsidRPr="00797A39">
        <w:rPr>
          <w:rFonts w:ascii="Times New Roman" w:hAnsi="Times New Roman"/>
          <w:sz w:val="28"/>
          <w:szCs w:val="28"/>
          <w:lang w:val="en-US"/>
        </w:rPr>
        <w:t>Macroeconomic analysis and estimation of the main indices of national economy development have been carried out. The prospects and priorities of domestic economy in conditions of recovery from the recession have been determined.</w:t>
      </w:r>
    </w:p>
    <w:p w:rsidR="006E3BAB" w:rsidRPr="00797A39" w:rsidRDefault="006E3BAB" w:rsidP="006E3BAB">
      <w:pPr>
        <w:spacing w:after="0" w:line="360" w:lineRule="auto"/>
        <w:jc w:val="both"/>
        <w:rPr>
          <w:rFonts w:ascii="Times New Roman" w:hAnsi="Times New Roman"/>
          <w:sz w:val="28"/>
          <w:szCs w:val="28"/>
          <w:lang w:val="en-US"/>
        </w:rPr>
      </w:pPr>
      <w:r w:rsidRPr="00797A39">
        <w:rPr>
          <w:rFonts w:ascii="Times New Roman" w:hAnsi="Times New Roman"/>
          <w:b/>
          <w:sz w:val="28"/>
          <w:szCs w:val="28"/>
          <w:lang w:val="en-US"/>
        </w:rPr>
        <w:t>Key words:</w:t>
      </w:r>
      <w:r w:rsidRPr="00797A39">
        <w:rPr>
          <w:rFonts w:ascii="Times New Roman" w:hAnsi="Times New Roman"/>
          <w:sz w:val="28"/>
          <w:szCs w:val="28"/>
          <w:lang w:val="en-US"/>
        </w:rPr>
        <w:t xml:space="preserve"> national economy, economic crisis, factors of stabilization, priorities of development.</w:t>
      </w:r>
    </w:p>
    <w:p w:rsidR="006E3BAB" w:rsidRPr="006E3BAB" w:rsidRDefault="006E3BAB" w:rsidP="006E3BAB">
      <w:pPr>
        <w:autoSpaceDE w:val="0"/>
        <w:autoSpaceDN w:val="0"/>
        <w:adjustRightInd w:val="0"/>
        <w:spacing w:after="0" w:line="360" w:lineRule="auto"/>
        <w:jc w:val="both"/>
        <w:rPr>
          <w:rFonts w:ascii="Times New Roman" w:hAnsi="Times New Roman"/>
          <w:bCs/>
          <w:i/>
          <w:color w:val="000000"/>
          <w:sz w:val="28"/>
          <w:szCs w:val="28"/>
        </w:rPr>
      </w:pPr>
      <w:r>
        <w:rPr>
          <w:rFonts w:ascii="Times New Roman" w:hAnsi="Times New Roman"/>
          <w:b/>
          <w:bCs/>
          <w:i/>
          <w:color w:val="000000"/>
          <w:sz w:val="28"/>
          <w:szCs w:val="28"/>
        </w:rPr>
        <w:t xml:space="preserve"> Шот Анна Петрівна – </w:t>
      </w:r>
      <w:r w:rsidRPr="00EF68C3">
        <w:rPr>
          <w:rFonts w:ascii="Times New Roman" w:hAnsi="Times New Roman"/>
          <w:bCs/>
          <w:color w:val="000000"/>
          <w:sz w:val="28"/>
          <w:szCs w:val="28"/>
        </w:rPr>
        <w:t>кандидат економічних наук, доцент кафедри обліку і аудиту Львівської державної фінансової академії.</w:t>
      </w:r>
    </w:p>
    <w:p w:rsidR="00AB1134" w:rsidRDefault="006E3BAB" w:rsidP="00FC3325">
      <w:pPr>
        <w:autoSpaceDE w:val="0"/>
        <w:autoSpaceDN w:val="0"/>
        <w:adjustRightInd w:val="0"/>
        <w:spacing w:after="0" w:line="360" w:lineRule="auto"/>
      </w:pPr>
      <w:r w:rsidRPr="006C3788">
        <w:rPr>
          <w:rFonts w:ascii="Times New Roman" w:hAnsi="Times New Roman"/>
          <w:b/>
          <w:bCs/>
          <w:i/>
          <w:color w:val="000000"/>
          <w:sz w:val="28"/>
          <w:szCs w:val="28"/>
        </w:rPr>
        <w:t xml:space="preserve">Петецький Ігнацій - </w:t>
      </w:r>
      <w:r w:rsidRPr="00EF68C3">
        <w:rPr>
          <w:rFonts w:ascii="Times New Roman" w:hAnsi="Times New Roman"/>
          <w:bCs/>
          <w:color w:val="000000"/>
          <w:sz w:val="28"/>
          <w:szCs w:val="28"/>
        </w:rPr>
        <w:t xml:space="preserve">кандидат економічних наук, </w:t>
      </w:r>
      <w:r w:rsidR="00ED2B49">
        <w:rPr>
          <w:rFonts w:ascii="Times New Roman" w:hAnsi="Times New Roman"/>
          <w:bCs/>
          <w:color w:val="000000"/>
          <w:sz w:val="28"/>
          <w:szCs w:val="28"/>
        </w:rPr>
        <w:t xml:space="preserve">ад’юнкт Вищої школи </w:t>
      </w:r>
      <w:r w:rsidR="006C3788">
        <w:rPr>
          <w:rFonts w:ascii="Times New Roman" w:hAnsi="Times New Roman"/>
          <w:bCs/>
          <w:color w:val="000000"/>
          <w:sz w:val="28"/>
          <w:szCs w:val="28"/>
        </w:rPr>
        <w:t>підприємництва та управління (</w:t>
      </w:r>
      <w:r w:rsidR="00FC3325">
        <w:rPr>
          <w:rFonts w:ascii="Times New Roman" w:hAnsi="Times New Roman"/>
          <w:bCs/>
          <w:color w:val="000000"/>
          <w:sz w:val="28"/>
          <w:szCs w:val="28"/>
        </w:rPr>
        <w:t>м. Лодзь, РП)</w:t>
      </w:r>
      <w:r w:rsidR="009B4AA5">
        <w:rPr>
          <w:rFonts w:ascii="Times New Roman" w:hAnsi="Times New Roman"/>
          <w:bCs/>
          <w:color w:val="000000"/>
          <w:sz w:val="28"/>
          <w:szCs w:val="28"/>
        </w:rPr>
        <w:t>.</w:t>
      </w:r>
      <w:r w:rsidR="009B4AA5" w:rsidRPr="00FC3325">
        <w:rPr>
          <w:rFonts w:ascii="Times New Roman" w:hAnsi="Times New Roman"/>
          <w:bCs/>
          <w:color w:val="000000"/>
          <w:sz w:val="28"/>
          <w:szCs w:val="28"/>
        </w:rPr>
        <w:object w:dxaOrig="9639" w:dyaOrig="14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3.75pt" o:ole="">
            <v:imagedata r:id="rId15" o:title=""/>
          </v:shape>
          <o:OLEObject Type="Embed" ProgID="Word.Document.12" ShapeID="_x0000_i1025" DrawAspect="Content" ObjectID="_1362938791" r:id="rId16"/>
        </w:object>
      </w:r>
    </w:p>
    <w:sectPr w:rsidR="00AB1134" w:rsidSect="00770B83">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BB" w:rsidRDefault="006006BB" w:rsidP="00046A99">
      <w:pPr>
        <w:spacing w:after="0" w:line="240" w:lineRule="auto"/>
      </w:pPr>
      <w:r>
        <w:separator/>
      </w:r>
    </w:p>
  </w:endnote>
  <w:endnote w:type="continuationSeparator" w:id="0">
    <w:p w:rsidR="006006BB" w:rsidRDefault="006006BB" w:rsidP="00046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NewtonC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4" w:rsidRDefault="006006BB">
    <w:pPr>
      <w:pStyle w:val="a6"/>
      <w:jc w:val="center"/>
    </w:pPr>
  </w:p>
  <w:p w:rsidR="00A40634" w:rsidRDefault="00600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BB" w:rsidRDefault="006006BB" w:rsidP="00046A99">
      <w:pPr>
        <w:spacing w:after="0" w:line="240" w:lineRule="auto"/>
      </w:pPr>
      <w:r>
        <w:separator/>
      </w:r>
    </w:p>
  </w:footnote>
  <w:footnote w:type="continuationSeparator" w:id="0">
    <w:p w:rsidR="006006BB" w:rsidRDefault="006006BB" w:rsidP="00046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03A"/>
    <w:multiLevelType w:val="hybridMultilevel"/>
    <w:tmpl w:val="758CF00E"/>
    <w:lvl w:ilvl="0" w:tplc="265019A0">
      <w:numFmt w:val="bullet"/>
      <w:lvlText w:val="*"/>
      <w:lvlJc w:val="left"/>
      <w:pPr>
        <w:ind w:left="720" w:hanging="360"/>
      </w:pPr>
      <w:rPr>
        <w:rFonts w:ascii="Arial,Bold" w:eastAsia="Times New Roman" w:hAnsi="Arial,Bold"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F53410"/>
    <w:multiLevelType w:val="hybridMultilevel"/>
    <w:tmpl w:val="D734687C"/>
    <w:lvl w:ilvl="0" w:tplc="21369370">
      <w:start w:val="1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746097"/>
    <w:multiLevelType w:val="hybridMultilevel"/>
    <w:tmpl w:val="8918E2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A5B1FE4"/>
    <w:multiLevelType w:val="hybridMultilevel"/>
    <w:tmpl w:val="CA88766E"/>
    <w:lvl w:ilvl="0" w:tplc="F2EE2CDC">
      <w:start w:val="1"/>
      <w:numFmt w:val="decimal"/>
      <w:lvlText w:val="%1."/>
      <w:lvlJc w:val="left"/>
      <w:pPr>
        <w:ind w:left="36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CB607C7"/>
    <w:multiLevelType w:val="hybridMultilevel"/>
    <w:tmpl w:val="4F500B98"/>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3BAB"/>
    <w:rsid w:val="00046A99"/>
    <w:rsid w:val="00217028"/>
    <w:rsid w:val="00285F26"/>
    <w:rsid w:val="0058017B"/>
    <w:rsid w:val="006006BB"/>
    <w:rsid w:val="00684C61"/>
    <w:rsid w:val="006C3788"/>
    <w:rsid w:val="006D06FF"/>
    <w:rsid w:val="006E3BAB"/>
    <w:rsid w:val="008360A5"/>
    <w:rsid w:val="009B4AA5"/>
    <w:rsid w:val="009E2488"/>
    <w:rsid w:val="00A265A0"/>
    <w:rsid w:val="00A80CDC"/>
    <w:rsid w:val="00AB1134"/>
    <w:rsid w:val="00AD2410"/>
    <w:rsid w:val="00B15BE7"/>
    <w:rsid w:val="00B40760"/>
    <w:rsid w:val="00BC7F18"/>
    <w:rsid w:val="00BF0637"/>
    <w:rsid w:val="00C0122E"/>
    <w:rsid w:val="00D330BA"/>
    <w:rsid w:val="00D3341B"/>
    <w:rsid w:val="00DA08D3"/>
    <w:rsid w:val="00DB06AE"/>
    <w:rsid w:val="00E41934"/>
    <w:rsid w:val="00E51BD1"/>
    <w:rsid w:val="00E663A9"/>
    <w:rsid w:val="00EA6B7B"/>
    <w:rsid w:val="00ED0FBE"/>
    <w:rsid w:val="00ED2B49"/>
    <w:rsid w:val="00FC3325"/>
    <w:rsid w:val="00FC3C6C"/>
    <w:rsid w:val="00FE6B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AB"/>
    <w:rPr>
      <w:rFonts w:ascii="Calibri" w:eastAsia="Calibri" w:hAnsi="Calibri" w:cs="Times New Roman"/>
    </w:rPr>
  </w:style>
  <w:style w:type="paragraph" w:styleId="1">
    <w:name w:val="heading 1"/>
    <w:basedOn w:val="a"/>
    <w:next w:val="a"/>
    <w:link w:val="10"/>
    <w:uiPriority w:val="9"/>
    <w:qFormat/>
    <w:rsid w:val="00BC7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E3BAB"/>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unhideWhenUsed/>
    <w:qFormat/>
    <w:rsid w:val="00BC7F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7F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7F1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BC7F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3BAB"/>
    <w:rPr>
      <w:rFonts w:ascii="Times New Roman" w:eastAsia="Times New Roman" w:hAnsi="Times New Roman" w:cs="Times New Roman"/>
      <w:b/>
      <w:bCs/>
      <w:sz w:val="36"/>
      <w:szCs w:val="36"/>
      <w:lang w:eastAsia="uk-UA"/>
    </w:rPr>
  </w:style>
  <w:style w:type="paragraph" w:styleId="a3">
    <w:name w:val="Body Text Indent"/>
    <w:basedOn w:val="a"/>
    <w:link w:val="a4"/>
    <w:uiPriority w:val="99"/>
    <w:semiHidden/>
    <w:rsid w:val="006E3BA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сновний текст з відступом Знак"/>
    <w:basedOn w:val="a0"/>
    <w:link w:val="a3"/>
    <w:uiPriority w:val="99"/>
    <w:semiHidden/>
    <w:rsid w:val="006E3BAB"/>
    <w:rPr>
      <w:rFonts w:ascii="Times New Roman" w:eastAsia="Times New Roman" w:hAnsi="Times New Roman" w:cs="Times New Roman"/>
      <w:sz w:val="24"/>
      <w:szCs w:val="24"/>
      <w:lang w:eastAsia="uk-UA"/>
    </w:rPr>
  </w:style>
  <w:style w:type="paragraph" w:styleId="a5">
    <w:name w:val="Normal (Web)"/>
    <w:basedOn w:val="a"/>
    <w:uiPriority w:val="99"/>
    <w:rsid w:val="006E3BAB"/>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rsid w:val="006E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6E3BAB"/>
    <w:rPr>
      <w:rFonts w:ascii="Courier New" w:eastAsia="Times New Roman" w:hAnsi="Courier New" w:cs="Courier New"/>
      <w:sz w:val="20"/>
      <w:szCs w:val="20"/>
      <w:lang w:eastAsia="uk-UA"/>
    </w:rPr>
  </w:style>
  <w:style w:type="paragraph" w:styleId="a6">
    <w:name w:val="footer"/>
    <w:basedOn w:val="a"/>
    <w:link w:val="a7"/>
    <w:uiPriority w:val="99"/>
    <w:rsid w:val="006E3BA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E3BAB"/>
    <w:rPr>
      <w:rFonts w:ascii="Calibri" w:eastAsia="Calibri" w:hAnsi="Calibri" w:cs="Times New Roman"/>
    </w:rPr>
  </w:style>
  <w:style w:type="character" w:styleId="a8">
    <w:name w:val="Hyperlink"/>
    <w:basedOn w:val="a0"/>
    <w:uiPriority w:val="99"/>
    <w:rsid w:val="006E3BAB"/>
    <w:rPr>
      <w:rFonts w:cs="Times New Roman"/>
      <w:color w:val="0000FF"/>
      <w:u w:val="single"/>
    </w:rPr>
  </w:style>
  <w:style w:type="paragraph" w:styleId="a9">
    <w:name w:val="List Paragraph"/>
    <w:basedOn w:val="a"/>
    <w:uiPriority w:val="99"/>
    <w:qFormat/>
    <w:rsid w:val="006E3BAB"/>
    <w:pPr>
      <w:ind w:left="720"/>
      <w:contextualSpacing/>
    </w:pPr>
  </w:style>
  <w:style w:type="character" w:customStyle="1" w:styleId="issue">
    <w:name w:val="issue"/>
    <w:basedOn w:val="a0"/>
    <w:uiPriority w:val="99"/>
    <w:rsid w:val="006E3BAB"/>
    <w:rPr>
      <w:rFonts w:cs="Times New Roman"/>
    </w:rPr>
  </w:style>
  <w:style w:type="character" w:customStyle="1" w:styleId="nobr">
    <w:name w:val="nobr"/>
    <w:basedOn w:val="a0"/>
    <w:uiPriority w:val="99"/>
    <w:rsid w:val="006E3BAB"/>
    <w:rPr>
      <w:rFonts w:cs="Times New Roman"/>
    </w:rPr>
  </w:style>
  <w:style w:type="character" w:customStyle="1" w:styleId="printonly">
    <w:name w:val="printonly"/>
    <w:basedOn w:val="a0"/>
    <w:rsid w:val="006E3BAB"/>
  </w:style>
  <w:style w:type="character" w:customStyle="1" w:styleId="reference-accessdate">
    <w:name w:val="reference-accessdate"/>
    <w:basedOn w:val="a0"/>
    <w:rsid w:val="006E3BAB"/>
  </w:style>
  <w:style w:type="paragraph" w:styleId="aa">
    <w:name w:val="Balloon Text"/>
    <w:basedOn w:val="a"/>
    <w:link w:val="ab"/>
    <w:uiPriority w:val="99"/>
    <w:semiHidden/>
    <w:unhideWhenUsed/>
    <w:rsid w:val="00ED0FB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ED0FBE"/>
    <w:rPr>
      <w:rFonts w:ascii="Tahoma" w:eastAsia="Calibri" w:hAnsi="Tahoma" w:cs="Tahoma"/>
      <w:sz w:val="16"/>
      <w:szCs w:val="16"/>
    </w:rPr>
  </w:style>
  <w:style w:type="character" w:customStyle="1" w:styleId="10">
    <w:name w:val="Заголовок 1 Знак"/>
    <w:basedOn w:val="a0"/>
    <w:link w:val="1"/>
    <w:uiPriority w:val="9"/>
    <w:rsid w:val="00BC7F1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C7F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7F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C7F18"/>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BC7F18"/>
    <w:rPr>
      <w:rFonts w:asciiTheme="majorHAnsi" w:eastAsiaTheme="majorEastAsia" w:hAnsiTheme="majorHAnsi" w:cstheme="majorBidi"/>
      <w:i/>
      <w:iCs/>
      <w:color w:val="404040" w:themeColor="text1" w:themeTint="BF"/>
    </w:rPr>
  </w:style>
  <w:style w:type="paragraph" w:styleId="ac">
    <w:name w:val="List"/>
    <w:basedOn w:val="a"/>
    <w:uiPriority w:val="99"/>
    <w:unhideWhenUsed/>
    <w:rsid w:val="00BC7F18"/>
    <w:pPr>
      <w:ind w:left="283" w:hanging="283"/>
      <w:contextualSpacing/>
    </w:pPr>
  </w:style>
  <w:style w:type="paragraph" w:styleId="ad">
    <w:name w:val="Body Text"/>
    <w:basedOn w:val="a"/>
    <w:link w:val="ae"/>
    <w:uiPriority w:val="99"/>
    <w:unhideWhenUsed/>
    <w:rsid w:val="00BC7F18"/>
    <w:pPr>
      <w:spacing w:after="120"/>
    </w:pPr>
  </w:style>
  <w:style w:type="character" w:customStyle="1" w:styleId="ae">
    <w:name w:val="Основний текст Знак"/>
    <w:basedOn w:val="a0"/>
    <w:link w:val="ad"/>
    <w:uiPriority w:val="99"/>
    <w:rsid w:val="00BC7F18"/>
    <w:rPr>
      <w:rFonts w:ascii="Calibri" w:eastAsia="Calibri" w:hAnsi="Calibri" w:cs="Times New Roman"/>
    </w:rPr>
  </w:style>
  <w:style w:type="paragraph" w:styleId="af">
    <w:name w:val="Body Text First Indent"/>
    <w:basedOn w:val="ad"/>
    <w:link w:val="af0"/>
    <w:uiPriority w:val="99"/>
    <w:unhideWhenUsed/>
    <w:rsid w:val="00BC7F18"/>
    <w:pPr>
      <w:spacing w:after="200"/>
      <w:ind w:firstLine="360"/>
    </w:pPr>
  </w:style>
  <w:style w:type="character" w:customStyle="1" w:styleId="af0">
    <w:name w:val="Червоний рядок Знак"/>
    <w:basedOn w:val="ae"/>
    <w:link w:val="af"/>
    <w:uiPriority w:val="99"/>
    <w:rsid w:val="00BC7F18"/>
  </w:style>
  <w:style w:type="paragraph" w:styleId="21">
    <w:name w:val="Body Text First Indent 2"/>
    <w:basedOn w:val="a3"/>
    <w:link w:val="22"/>
    <w:uiPriority w:val="99"/>
    <w:unhideWhenUsed/>
    <w:rsid w:val="00BC7F18"/>
    <w:pPr>
      <w:spacing w:before="0" w:beforeAutospacing="0" w:after="200" w:afterAutospacing="0" w:line="276" w:lineRule="auto"/>
      <w:ind w:left="360" w:firstLine="360"/>
    </w:pPr>
    <w:rPr>
      <w:rFonts w:ascii="Calibri" w:eastAsia="Calibri" w:hAnsi="Calibri"/>
      <w:sz w:val="22"/>
      <w:szCs w:val="22"/>
      <w:lang w:eastAsia="en-US"/>
    </w:rPr>
  </w:style>
  <w:style w:type="character" w:customStyle="1" w:styleId="22">
    <w:name w:val="Червоний рядок 2 Знак"/>
    <w:basedOn w:val="a4"/>
    <w:link w:val="21"/>
    <w:uiPriority w:val="99"/>
    <w:rsid w:val="00BC7F18"/>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krcensus.gov.ua/e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_________Microsoft_Office_Word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au.edu.ua/library.php?pid=751"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dt.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kmu.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ctr">
              <a:defRPr/>
            </a:pPr>
            <a:r>
              <a:rPr lang="uk-UA" sz="1044"/>
              <a:t>Динаміка</a:t>
            </a:r>
            <a:r>
              <a:rPr lang="uk-UA" sz="1044" baseline="0"/>
              <a:t> структури державного боргу України</a:t>
            </a:r>
          </a:p>
          <a:p>
            <a:pPr algn="ctr">
              <a:defRPr/>
            </a:pPr>
            <a:r>
              <a:rPr lang="uk-UA" sz="1044" baseline="0"/>
              <a:t>за 2007-2009 роки відносно ВВП</a:t>
            </a:r>
            <a:endParaRPr lang="uk-UA" sz="1200"/>
          </a:p>
        </c:rich>
      </c:tx>
      <c:layout>
        <c:manualLayout>
          <c:xMode val="edge"/>
          <c:yMode val="edge"/>
          <c:x val="0.22683706070287549"/>
          <c:y val="1.8970189701897063E-2"/>
        </c:manualLayout>
      </c:layout>
      <c:overlay val="1"/>
      <c:spPr>
        <a:noFill/>
        <a:ln w="22106">
          <a:noFill/>
        </a:ln>
      </c:spPr>
    </c:title>
    <c:plotArea>
      <c:layout>
        <c:manualLayout>
          <c:layoutTarget val="inner"/>
          <c:xMode val="edge"/>
          <c:yMode val="edge"/>
          <c:x val="0.2756596310877808"/>
          <c:y val="0.13199162762882488"/>
          <c:w val="0.72434036891221798"/>
          <c:h val="0.58065849363766253"/>
        </c:manualLayout>
      </c:layout>
      <c:lineChart>
        <c:grouping val="standard"/>
        <c:ser>
          <c:idx val="0"/>
          <c:order val="0"/>
          <c:tx>
            <c:strRef>
              <c:f>Аркуш1!$A$2</c:f>
              <c:strCache>
                <c:ptCount val="1"/>
                <c:pt idx="0">
                  <c:v>державний борг</c:v>
                </c:pt>
              </c:strCache>
            </c:strRef>
          </c:tx>
          <c:spPr>
            <a:ln>
              <a:solidFill>
                <a:schemeClr val="tx1"/>
              </a:solidFill>
            </a:ln>
          </c:spPr>
          <c:marker>
            <c:spPr>
              <a:solidFill>
                <a:schemeClr val="tx1"/>
              </a:solidFill>
              <a:ln>
                <a:solidFill>
                  <a:schemeClr val="tx1"/>
                </a:solidFill>
              </a:ln>
            </c:spPr>
          </c:marker>
          <c:dPt>
            <c:idx val="0"/>
            <c:marker>
              <c:symbol val="diamond"/>
              <c:size val="4"/>
            </c:marker>
            <c:spPr>
              <a:ln w="19343">
                <a:solidFill>
                  <a:schemeClr val="tx1"/>
                </a:solidFill>
              </a:ln>
            </c:spPr>
          </c:dPt>
          <c:dPt>
            <c:idx val="1"/>
            <c:marker>
              <c:symbol val="diamond"/>
              <c:size val="4"/>
            </c:marker>
            <c:spPr>
              <a:ln w="16580">
                <a:solidFill>
                  <a:schemeClr val="tx1"/>
                </a:solidFill>
              </a:ln>
            </c:spPr>
          </c:dPt>
          <c:dPt>
            <c:idx val="2"/>
            <c:marker>
              <c:symbol val="diamond"/>
              <c:size val="4"/>
            </c:marker>
            <c:spPr>
              <a:ln w="16580">
                <a:solidFill>
                  <a:schemeClr val="tx1"/>
                </a:solidFill>
              </a:ln>
            </c:spPr>
          </c:dPt>
          <c:dLbls>
            <c:spPr>
              <a:noFill/>
              <a:ln w="22106">
                <a:noFill/>
              </a:ln>
            </c:spPr>
            <c:txPr>
              <a:bodyPr/>
              <a:lstStyle/>
              <a:p>
                <a:pPr>
                  <a:defRPr sz="957"/>
                </a:pPr>
                <a:endParaRPr lang="uk-UA"/>
              </a:p>
            </c:txPr>
            <c:dLblPos val="t"/>
            <c:showVal val="1"/>
          </c:dLbls>
          <c:cat>
            <c:strRef>
              <c:f>Аркуш1!$B$1:$D$1</c:f>
              <c:strCache>
                <c:ptCount val="3"/>
                <c:pt idx="0">
                  <c:v>2007</c:v>
                </c:pt>
                <c:pt idx="1">
                  <c:v>2008</c:v>
                </c:pt>
                <c:pt idx="2">
                  <c:v>2009</c:v>
                </c:pt>
              </c:strCache>
            </c:strRef>
          </c:cat>
          <c:val>
            <c:numRef>
              <c:f>Аркуш1!$B$2:$D$2</c:f>
              <c:numCache>
                <c:formatCode>General</c:formatCode>
                <c:ptCount val="3"/>
                <c:pt idx="0">
                  <c:v>9.9</c:v>
                </c:pt>
                <c:pt idx="1">
                  <c:v>13.8</c:v>
                </c:pt>
                <c:pt idx="2">
                  <c:v>24.8</c:v>
                </c:pt>
              </c:numCache>
            </c:numRef>
          </c:val>
        </c:ser>
        <c:ser>
          <c:idx val="1"/>
          <c:order val="1"/>
          <c:tx>
            <c:strRef>
              <c:f>Аркуш1!$A$3</c:f>
              <c:strCache>
                <c:ptCount val="1"/>
                <c:pt idx="0">
                  <c:v>внутрішній борг</c:v>
                </c:pt>
              </c:strCache>
            </c:strRef>
          </c:tx>
          <c:spPr>
            <a:ln w="16580">
              <a:solidFill>
                <a:schemeClr val="tx1"/>
              </a:solidFill>
            </a:ln>
          </c:spPr>
          <c:marker>
            <c:spPr>
              <a:solidFill>
                <a:schemeClr val="tx1"/>
              </a:solidFill>
              <a:ln>
                <a:solidFill>
                  <a:schemeClr val="tx1"/>
                </a:solidFill>
              </a:ln>
            </c:spPr>
          </c:marker>
          <c:dLbls>
            <c:dLbl>
              <c:idx val="0"/>
              <c:layout>
                <c:manualLayout>
                  <c:x val="-1.8924978127734078E-3"/>
                  <c:y val="2.3282633974550649E-2"/>
                </c:manualLayout>
              </c:layout>
              <c:dLblPos val="r"/>
              <c:showVal val="1"/>
            </c:dLbl>
            <c:dLbl>
              <c:idx val="1"/>
              <c:layout>
                <c:manualLayout>
                  <c:x val="-8.8369422572178846E-3"/>
                  <c:y val="1.3156051696069681E-2"/>
                </c:manualLayout>
              </c:layout>
              <c:dLblPos val="r"/>
              <c:showVal val="1"/>
            </c:dLbl>
            <c:dLbl>
              <c:idx val="2"/>
              <c:layout>
                <c:manualLayout>
                  <c:x val="-3.4737945492662577E-2"/>
                  <c:y val="-4.4227914548656211E-2"/>
                </c:manualLayout>
              </c:layout>
              <c:dLblPos val="r"/>
              <c:showVal val="1"/>
            </c:dLbl>
            <c:spPr>
              <a:noFill/>
              <a:ln w="22106">
                <a:noFill/>
              </a:ln>
            </c:spPr>
            <c:txPr>
              <a:bodyPr/>
              <a:lstStyle/>
              <a:p>
                <a:pPr>
                  <a:defRPr sz="957"/>
                </a:pPr>
                <a:endParaRPr lang="uk-UA"/>
              </a:p>
            </c:txPr>
            <c:dLblPos val="t"/>
            <c:showVal val="1"/>
          </c:dLbls>
          <c:cat>
            <c:strRef>
              <c:f>Аркуш1!$B$1:$D$1</c:f>
              <c:strCache>
                <c:ptCount val="3"/>
                <c:pt idx="0">
                  <c:v>2007</c:v>
                </c:pt>
                <c:pt idx="1">
                  <c:v>2008</c:v>
                </c:pt>
                <c:pt idx="2">
                  <c:v>2009</c:v>
                </c:pt>
              </c:strCache>
            </c:strRef>
          </c:cat>
          <c:val>
            <c:numRef>
              <c:f>Аркуш1!$B$3:$D$3</c:f>
              <c:numCache>
                <c:formatCode>General</c:formatCode>
                <c:ptCount val="3"/>
                <c:pt idx="0">
                  <c:v>2.5</c:v>
                </c:pt>
                <c:pt idx="1">
                  <c:v>4.7</c:v>
                </c:pt>
                <c:pt idx="2">
                  <c:v>10</c:v>
                </c:pt>
              </c:numCache>
            </c:numRef>
          </c:val>
        </c:ser>
        <c:ser>
          <c:idx val="2"/>
          <c:order val="2"/>
          <c:tx>
            <c:strRef>
              <c:f>Аркуш1!$A$4</c:f>
              <c:strCache>
                <c:ptCount val="1"/>
                <c:pt idx="0">
                  <c:v>зовнішній борг</c:v>
                </c:pt>
              </c:strCache>
            </c:strRef>
          </c:tx>
          <c:spPr>
            <a:ln w="16580">
              <a:solidFill>
                <a:schemeClr val="tx1"/>
              </a:solidFill>
            </a:ln>
          </c:spPr>
          <c:marker>
            <c:spPr>
              <a:solidFill>
                <a:schemeClr val="tx1"/>
              </a:solidFill>
              <a:ln>
                <a:solidFill>
                  <a:schemeClr val="tx1"/>
                </a:solidFill>
              </a:ln>
            </c:spPr>
          </c:marker>
          <c:dLbls>
            <c:dLbl>
              <c:idx val="0"/>
              <c:layout>
                <c:manualLayout>
                  <c:x val="-4.2073126275882179E-3"/>
                  <c:y val="-4.4227914548656308E-2"/>
                </c:manualLayout>
              </c:layout>
              <c:dLblPos val="r"/>
              <c:showVal val="1"/>
            </c:dLbl>
            <c:spPr>
              <a:noFill/>
              <a:ln w="22106">
                <a:noFill/>
              </a:ln>
            </c:spPr>
            <c:txPr>
              <a:bodyPr/>
              <a:lstStyle/>
              <a:p>
                <a:pPr>
                  <a:defRPr sz="957"/>
                </a:pPr>
                <a:endParaRPr lang="uk-UA"/>
              </a:p>
            </c:txPr>
            <c:dLblPos val="t"/>
            <c:showVal val="1"/>
          </c:dLbls>
          <c:cat>
            <c:strRef>
              <c:f>Аркуш1!$B$1:$D$1</c:f>
              <c:strCache>
                <c:ptCount val="3"/>
                <c:pt idx="0">
                  <c:v>2007</c:v>
                </c:pt>
                <c:pt idx="1">
                  <c:v>2008</c:v>
                </c:pt>
                <c:pt idx="2">
                  <c:v>2009</c:v>
                </c:pt>
              </c:strCache>
            </c:strRef>
          </c:cat>
          <c:val>
            <c:numRef>
              <c:f>Аркуш1!$B$4:$D$4</c:f>
              <c:numCache>
                <c:formatCode>General</c:formatCode>
                <c:ptCount val="3"/>
                <c:pt idx="0">
                  <c:v>7.4</c:v>
                </c:pt>
                <c:pt idx="1">
                  <c:v>9.1</c:v>
                </c:pt>
                <c:pt idx="2">
                  <c:v>14.9</c:v>
                </c:pt>
              </c:numCache>
            </c:numRef>
          </c:val>
        </c:ser>
        <c:ser>
          <c:idx val="3"/>
          <c:order val="3"/>
          <c:tx>
            <c:strRef>
              <c:f>Аркуш1!$A$5</c:f>
              <c:strCache>
                <c:ptCount val="1"/>
                <c:pt idx="0">
                  <c:v>гарантований борг</c:v>
                </c:pt>
              </c:strCache>
            </c:strRef>
          </c:tx>
          <c:spPr>
            <a:ln w="16580">
              <a:solidFill>
                <a:schemeClr val="tx1"/>
              </a:solidFill>
            </a:ln>
          </c:spPr>
          <c:marker>
            <c:symbol val="circle"/>
            <c:size val="5"/>
            <c:spPr>
              <a:solidFill>
                <a:schemeClr val="tx1"/>
              </a:solidFill>
            </c:spPr>
          </c:marker>
          <c:dLbls>
            <c:dLbl>
              <c:idx val="0"/>
              <c:layout>
                <c:manualLayout>
                  <c:x val="-6.43924978127738E-2"/>
                  <c:y val="-5.7730024253297686E-2"/>
                </c:manualLayout>
              </c:layout>
              <c:dLblPos val="r"/>
              <c:showVal val="1"/>
            </c:dLbl>
            <c:dLbl>
              <c:idx val="1"/>
              <c:layout>
                <c:manualLayout>
                  <c:x val="-1.5781386701662341E-2"/>
                  <c:y val="-4.0852387122495899E-2"/>
                </c:manualLayout>
              </c:layout>
              <c:dLblPos val="r"/>
              <c:showVal val="1"/>
            </c:dLbl>
            <c:dLbl>
              <c:idx val="2"/>
              <c:layout>
                <c:manualLayout>
                  <c:x val="-1.7139602832664778E-3"/>
                  <c:y val="6.4049968437489653E-3"/>
                </c:manualLayout>
              </c:layout>
              <c:dLblPos val="r"/>
              <c:showVal val="1"/>
            </c:dLbl>
            <c:spPr>
              <a:noFill/>
              <a:ln w="22106">
                <a:noFill/>
              </a:ln>
            </c:spPr>
            <c:txPr>
              <a:bodyPr/>
              <a:lstStyle/>
              <a:p>
                <a:pPr>
                  <a:defRPr sz="957"/>
                </a:pPr>
                <a:endParaRPr lang="uk-UA"/>
              </a:p>
            </c:txPr>
            <c:dLblPos val="t"/>
            <c:showVal val="1"/>
          </c:dLbls>
          <c:cat>
            <c:strRef>
              <c:f>Аркуш1!$B$1:$D$1</c:f>
              <c:strCache>
                <c:ptCount val="3"/>
                <c:pt idx="0">
                  <c:v>2007</c:v>
                </c:pt>
                <c:pt idx="1">
                  <c:v>2008</c:v>
                </c:pt>
                <c:pt idx="2">
                  <c:v>2009</c:v>
                </c:pt>
              </c:strCache>
            </c:strRef>
          </c:cat>
          <c:val>
            <c:numRef>
              <c:f>Аркуш1!$B$5:$D$5</c:f>
              <c:numCache>
                <c:formatCode>General</c:formatCode>
                <c:ptCount val="3"/>
                <c:pt idx="0">
                  <c:v>2.4</c:v>
                </c:pt>
                <c:pt idx="1">
                  <c:v>6.2</c:v>
                </c:pt>
                <c:pt idx="2">
                  <c:v>9.9</c:v>
                </c:pt>
              </c:numCache>
            </c:numRef>
          </c:val>
        </c:ser>
        <c:dLbls>
          <c:showVal val="1"/>
        </c:dLbls>
        <c:marker val="1"/>
        <c:axId val="125565952"/>
        <c:axId val="58443648"/>
      </c:lineChart>
      <c:catAx>
        <c:axId val="125565952"/>
        <c:scaling>
          <c:orientation val="minMax"/>
        </c:scaling>
        <c:axPos val="b"/>
        <c:majorGridlines>
          <c:spPr>
            <a:ln w="2763">
              <a:solidFill>
                <a:srgbClr val="000000"/>
              </a:solidFill>
              <a:prstDash val="solid"/>
            </a:ln>
          </c:spPr>
        </c:majorGridlines>
        <c:title>
          <c:tx>
            <c:rich>
              <a:bodyPr/>
              <a:lstStyle/>
              <a:p>
                <a:pPr>
                  <a:defRPr sz="1044" b="1" i="0" u="none" strike="noStrike" baseline="0">
                    <a:solidFill>
                      <a:srgbClr val="000000"/>
                    </a:solidFill>
                    <a:latin typeface="Calibri"/>
                    <a:ea typeface="Calibri"/>
                    <a:cs typeface="Calibri"/>
                  </a:defRPr>
                </a:pPr>
                <a:r>
                  <a:rPr lang="uk-UA"/>
                  <a:t>роки </a:t>
                </a:r>
              </a:p>
            </c:rich>
          </c:tx>
          <c:layout>
            <c:manualLayout>
              <c:xMode val="edge"/>
              <c:yMode val="edge"/>
              <c:x val="0.47124600638977637"/>
              <c:y val="0.78861788617886175"/>
            </c:manualLayout>
          </c:layout>
          <c:spPr>
            <a:noFill/>
            <a:ln w="22106">
              <a:noFill/>
            </a:ln>
          </c:spPr>
        </c:title>
        <c:numFmt formatCode="General" sourceLinked="1"/>
        <c:tickLblPos val="nextTo"/>
        <c:spPr>
          <a:ln w="2763">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uk-UA"/>
          </a:p>
        </c:txPr>
        <c:crossAx val="58443648"/>
        <c:crosses val="autoZero"/>
        <c:auto val="1"/>
        <c:lblAlgn val="ctr"/>
        <c:lblOffset val="100"/>
      </c:catAx>
      <c:valAx>
        <c:axId val="58443648"/>
        <c:scaling>
          <c:orientation val="minMax"/>
        </c:scaling>
        <c:axPos val="l"/>
        <c:majorGridlines>
          <c:spPr>
            <a:ln w="2763">
              <a:solidFill>
                <a:srgbClr val="000000"/>
              </a:solidFill>
              <a:prstDash val="solid"/>
            </a:ln>
          </c:spPr>
        </c:majorGridlines>
        <c:title>
          <c:tx>
            <c:rich>
              <a:bodyPr/>
              <a:lstStyle/>
              <a:p>
                <a:pPr>
                  <a:defRPr sz="1044" b="1" i="0" u="none" strike="noStrike" baseline="0">
                    <a:solidFill>
                      <a:srgbClr val="000000"/>
                    </a:solidFill>
                    <a:latin typeface="Calibri"/>
                    <a:ea typeface="Calibri"/>
                    <a:cs typeface="Calibri"/>
                  </a:defRPr>
                </a:pPr>
                <a:r>
                  <a:rPr lang="uk-UA"/>
                  <a:t>відсотки</a:t>
                </a:r>
              </a:p>
            </c:rich>
          </c:tx>
          <c:layout>
            <c:manualLayout>
              <c:xMode val="edge"/>
              <c:yMode val="edge"/>
              <c:x val="0.11341853035143765"/>
              <c:y val="0.34959349593496014"/>
            </c:manualLayout>
          </c:layout>
          <c:spPr>
            <a:noFill/>
            <a:ln w="22106">
              <a:noFill/>
            </a:ln>
          </c:spPr>
        </c:title>
        <c:numFmt formatCode="General" sourceLinked="1"/>
        <c:tickLblPos val="nextTo"/>
        <c:spPr>
          <a:ln w="2763">
            <a:solidFill>
              <a:srgbClr val="000000"/>
            </a:solidFill>
            <a:prstDash val="solid"/>
          </a:ln>
        </c:spPr>
        <c:crossAx val="125565952"/>
        <c:crosses val="autoZero"/>
        <c:crossBetween val="between"/>
      </c:valAx>
    </c:plotArea>
    <c:legend>
      <c:legendPos val="b"/>
      <c:layout>
        <c:manualLayout>
          <c:xMode val="edge"/>
          <c:yMode val="edge"/>
          <c:x val="4.1533546325878586E-2"/>
          <c:y val="0.88166214995483205"/>
          <c:w val="0.89936102236421767"/>
          <c:h val="6.5040650406504419E-2"/>
        </c:manualLayout>
      </c:layout>
      <c:spPr>
        <a:noFill/>
        <a:ln w="2763">
          <a:solidFill>
            <a:srgbClr val="000000"/>
          </a:solidFill>
          <a:prstDash val="solid"/>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659" b="1" i="0" u="none" strike="noStrike" baseline="0">
                <a:solidFill>
                  <a:srgbClr val="000000"/>
                </a:solidFill>
                <a:latin typeface="Times New Roman"/>
                <a:ea typeface="Times New Roman"/>
                <a:cs typeface="Times New Roman"/>
              </a:defRPr>
            </a:pPr>
            <a:r>
              <a:rPr lang="uk-UA" sz="889" b="1" i="0" u="none" strike="noStrike" baseline="0">
                <a:solidFill>
                  <a:srgbClr val="000000"/>
                </a:solidFill>
                <a:latin typeface="Times New Roman"/>
                <a:cs typeface="Times New Roman"/>
              </a:rPr>
              <a:t>Динаміка індексів промислової продукції за 2006-2009 роки</a:t>
            </a:r>
          </a:p>
          <a:p>
            <a:pPr>
              <a:defRPr sz="659" b="1" i="0" u="none" strike="noStrike" baseline="0">
                <a:solidFill>
                  <a:srgbClr val="000000"/>
                </a:solidFill>
                <a:latin typeface="Times New Roman"/>
                <a:ea typeface="Times New Roman"/>
                <a:cs typeface="Times New Roman"/>
              </a:defRPr>
            </a:pPr>
            <a:r>
              <a:rPr lang="uk-UA" sz="815" b="0" i="1" u="none" strike="noStrike" baseline="0">
                <a:solidFill>
                  <a:srgbClr val="000000"/>
                </a:solidFill>
                <a:latin typeface="Times New Roman"/>
                <a:cs typeface="Times New Roman"/>
              </a:rPr>
              <a:t>(% до попереднього року)</a:t>
            </a:r>
            <a:r>
              <a:rPr lang="uk-UA" sz="889" b="0" i="1" u="none" strike="noStrike" baseline="0">
                <a:solidFill>
                  <a:srgbClr val="000000"/>
                </a:solidFill>
                <a:latin typeface="Times New Roman"/>
                <a:cs typeface="Times New Roman"/>
              </a:rPr>
              <a:t> </a:t>
            </a:r>
          </a:p>
        </c:rich>
      </c:tx>
      <c:layout>
        <c:manualLayout>
          <c:xMode val="edge"/>
          <c:yMode val="edge"/>
          <c:x val="0.16534181240063595"/>
          <c:y val="6.0790273556231211E-3"/>
        </c:manualLayout>
      </c:layout>
      <c:overlay val="1"/>
      <c:spPr>
        <a:noFill/>
        <a:ln w="18822">
          <a:noFill/>
        </a:ln>
      </c:spPr>
    </c:title>
    <c:plotArea>
      <c:layout>
        <c:manualLayout>
          <c:layoutTarget val="inner"/>
          <c:xMode val="edge"/>
          <c:yMode val="edge"/>
          <c:x val="8.1081081081081086E-2"/>
          <c:y val="0.1337386018237082"/>
          <c:w val="0.7933227344992051"/>
          <c:h val="0.57142857142857273"/>
        </c:manualLayout>
      </c:layout>
      <c:barChart>
        <c:barDir val="col"/>
        <c:grouping val="clustered"/>
        <c:ser>
          <c:idx val="0"/>
          <c:order val="0"/>
          <c:tx>
            <c:strRef>
              <c:f>Аркуш1!$B$1</c:f>
              <c:strCache>
                <c:ptCount val="1"/>
                <c:pt idx="0">
                  <c:v>2006</c:v>
                </c:pt>
              </c:strCache>
            </c:strRef>
          </c:tx>
          <c:spPr>
            <a:pattFill prst="pct60">
              <a:fgClr>
                <a:srgbClr val="000000"/>
              </a:fgClr>
              <a:bgClr>
                <a:srgbClr val="FFFFFF"/>
              </a:bgClr>
            </a:pattFill>
            <a:ln w="9411">
              <a:solidFill>
                <a:srgbClr val="000000"/>
              </a:solidFill>
              <a:prstDash val="solid"/>
            </a:ln>
          </c:spPr>
          <c:invertIfNegative val="1"/>
          <c:dPt>
            <c:idx val="1"/>
            <c:invertIfNegative val="1"/>
          </c:dPt>
          <c:dLbls>
            <c:dLbl>
              <c:idx val="0"/>
              <c:layout>
                <c:manualLayout>
                  <c:x val="-6.9204152249134968E-3"/>
                  <c:y val="1.1062859566796627E-2"/>
                </c:manualLayout>
              </c:layout>
              <c:spPr>
                <a:noFill/>
                <a:ln w="18822">
                  <a:noFill/>
                </a:ln>
              </c:spPr>
              <c:txPr>
                <a:bodyPr/>
                <a:lstStyle/>
                <a:p>
                  <a:pPr>
                    <a:defRPr/>
                  </a:pPr>
                  <a:endParaRPr lang="uk-UA"/>
                </a:p>
              </c:txPr>
              <c:dLblPos val="outEnd"/>
              <c:showVal val="1"/>
            </c:dLbl>
            <c:dLbl>
              <c:idx val="1"/>
              <c:layout>
                <c:manualLayout>
                  <c:x val="-2.7753771263021254E-2"/>
                  <c:y val="2.589393497529989E-2"/>
                </c:manualLayout>
              </c:layout>
              <c:spPr>
                <a:noFill/>
                <a:ln w="18822">
                  <a:noFill/>
                </a:ln>
              </c:spPr>
              <c:txPr>
                <a:bodyPr/>
                <a:lstStyle/>
                <a:p>
                  <a:pPr>
                    <a:defRPr/>
                  </a:pPr>
                  <a:endParaRPr lang="uk-UA"/>
                </a:p>
              </c:txPr>
              <c:dLblPos val="outEnd"/>
              <c:showVal val="1"/>
            </c:dLbl>
            <c:dLbl>
              <c:idx val="2"/>
              <c:layout>
                <c:manualLayout>
                  <c:x val="-2.0833333333333412E-2"/>
                  <c:y val="0"/>
                </c:manualLayout>
              </c:layout>
              <c:spPr>
                <a:noFill/>
                <a:ln w="18822">
                  <a:noFill/>
                </a:ln>
              </c:spPr>
              <c:txPr>
                <a:bodyPr/>
                <a:lstStyle/>
                <a:p>
                  <a:pPr>
                    <a:defRPr/>
                  </a:pPr>
                  <a:endParaRPr lang="uk-UA"/>
                </a:p>
              </c:txPr>
              <c:dLblPos val="outEnd"/>
              <c:showVal val="1"/>
            </c:dLbl>
            <c:dLbl>
              <c:idx val="3"/>
              <c:layout>
                <c:manualLayout>
                  <c:x val="-2.777774750474549E-2"/>
                  <c:y val="1.7436305310321067E-2"/>
                </c:manualLayout>
              </c:layout>
              <c:spPr>
                <a:noFill/>
                <a:ln w="18822">
                  <a:noFill/>
                </a:ln>
              </c:spPr>
              <c:txPr>
                <a:bodyPr/>
                <a:lstStyle/>
                <a:p>
                  <a:pPr>
                    <a:defRPr/>
                  </a:pPr>
                  <a:endParaRPr lang="uk-UA"/>
                </a:p>
              </c:txPr>
              <c:dLblPos val="outEnd"/>
              <c:showVal val="1"/>
            </c:dLbl>
            <c:spPr>
              <a:noFill/>
              <a:ln w="18822">
                <a:noFill/>
              </a:ln>
            </c:spPr>
            <c:showVal val="1"/>
          </c:dLbls>
          <c:cat>
            <c:strRef>
              <c:f>Аркуш1!$A$2:$A$5</c:f>
              <c:strCache>
                <c:ptCount val="4"/>
                <c:pt idx="0">
                  <c:v>металургія</c:v>
                </c:pt>
                <c:pt idx="1">
                  <c:v>машинобудування</c:v>
                </c:pt>
                <c:pt idx="2">
                  <c:v>хімічна</c:v>
                </c:pt>
                <c:pt idx="3">
                  <c:v>промисловість всього</c:v>
                </c:pt>
              </c:strCache>
            </c:strRef>
          </c:cat>
          <c:val>
            <c:numRef>
              <c:f>Аркуш1!$B$2:$B$5</c:f>
              <c:numCache>
                <c:formatCode>General</c:formatCode>
                <c:ptCount val="4"/>
                <c:pt idx="0">
                  <c:v>108.7</c:v>
                </c:pt>
                <c:pt idx="1">
                  <c:v>111.8</c:v>
                </c:pt>
                <c:pt idx="2">
                  <c:v>100.9</c:v>
                </c:pt>
                <c:pt idx="3">
                  <c:v>106.2</c:v>
                </c:pt>
              </c:numCache>
            </c:numRef>
          </c:val>
        </c:ser>
        <c:ser>
          <c:idx val="1"/>
          <c:order val="1"/>
          <c:tx>
            <c:strRef>
              <c:f>Аркуш1!$C$1</c:f>
              <c:strCache>
                <c:ptCount val="1"/>
                <c:pt idx="0">
                  <c:v>2007</c:v>
                </c:pt>
              </c:strCache>
            </c:strRef>
          </c:tx>
          <c:spPr>
            <a:pattFill prst="solidDmnd">
              <a:fgClr>
                <a:srgbClr val="000000"/>
              </a:fgClr>
              <a:bgClr>
                <a:srgbClr val="FFFFFF"/>
              </a:bgClr>
            </a:pattFill>
            <a:ln w="9411">
              <a:solidFill>
                <a:srgbClr val="000000"/>
              </a:solidFill>
              <a:prstDash val="solid"/>
            </a:ln>
          </c:spPr>
          <c:dLbls>
            <c:dLbl>
              <c:idx val="0"/>
              <c:layout>
                <c:manualLayout>
                  <c:x val="3.2407407407407614E-2"/>
                  <c:y val="3.9682539682539802E-3"/>
                </c:manualLayout>
              </c:layout>
              <c:spPr>
                <a:noFill/>
                <a:ln w="18822">
                  <a:noFill/>
                </a:ln>
              </c:spPr>
              <c:txPr>
                <a:bodyPr/>
                <a:lstStyle/>
                <a:p>
                  <a:pPr>
                    <a:defRPr/>
                  </a:pPr>
                  <a:endParaRPr lang="uk-UA"/>
                </a:p>
              </c:txPr>
              <c:dLblPos val="outEnd"/>
              <c:showVal val="1"/>
            </c:dLbl>
            <c:dLbl>
              <c:idx val="2"/>
              <c:layout>
                <c:manualLayout>
                  <c:x val="1.3888888888888963E-2"/>
                  <c:y val="0"/>
                </c:manualLayout>
              </c:layout>
              <c:spPr>
                <a:noFill/>
                <a:ln w="18822">
                  <a:noFill/>
                </a:ln>
              </c:spPr>
              <c:txPr>
                <a:bodyPr/>
                <a:lstStyle/>
                <a:p>
                  <a:pPr>
                    <a:defRPr/>
                  </a:pPr>
                  <a:endParaRPr lang="uk-UA"/>
                </a:p>
              </c:txPr>
              <c:dLblPos val="outEnd"/>
              <c:showVal val="1"/>
            </c:dLbl>
            <c:spPr>
              <a:noFill/>
              <a:ln w="18822">
                <a:noFill/>
              </a:ln>
            </c:spPr>
            <c:showVal val="1"/>
          </c:dLbls>
          <c:cat>
            <c:strRef>
              <c:f>Аркуш1!$A$2:$A$5</c:f>
              <c:strCache>
                <c:ptCount val="4"/>
                <c:pt idx="0">
                  <c:v>металургія</c:v>
                </c:pt>
                <c:pt idx="1">
                  <c:v>машинобудування</c:v>
                </c:pt>
                <c:pt idx="2">
                  <c:v>хімічна</c:v>
                </c:pt>
                <c:pt idx="3">
                  <c:v>промисловість всього</c:v>
                </c:pt>
              </c:strCache>
            </c:strRef>
          </c:cat>
          <c:val>
            <c:numRef>
              <c:f>Аркуш1!$C$2:$C$5</c:f>
              <c:numCache>
                <c:formatCode>General</c:formatCode>
                <c:ptCount val="4"/>
                <c:pt idx="0">
                  <c:v>106.5</c:v>
                </c:pt>
                <c:pt idx="1">
                  <c:v>119</c:v>
                </c:pt>
                <c:pt idx="2">
                  <c:v>106.8</c:v>
                </c:pt>
                <c:pt idx="3">
                  <c:v>107.6</c:v>
                </c:pt>
              </c:numCache>
            </c:numRef>
          </c:val>
        </c:ser>
        <c:ser>
          <c:idx val="2"/>
          <c:order val="2"/>
          <c:tx>
            <c:strRef>
              <c:f>Аркуш1!$D$1</c:f>
              <c:strCache>
                <c:ptCount val="1"/>
                <c:pt idx="0">
                  <c:v>2008</c:v>
                </c:pt>
              </c:strCache>
            </c:strRef>
          </c:tx>
          <c:spPr>
            <a:pattFill prst="wdDnDiag">
              <a:fgClr>
                <a:srgbClr val="000000"/>
              </a:fgClr>
              <a:bgClr>
                <a:srgbClr val="FFFFFF"/>
              </a:bgClr>
            </a:pattFill>
            <a:ln w="9411">
              <a:solidFill>
                <a:srgbClr val="000000"/>
              </a:solidFill>
              <a:prstDash val="solid"/>
            </a:ln>
          </c:spPr>
          <c:dLbls>
            <c:dLbl>
              <c:idx val="0"/>
              <c:layout>
                <c:manualLayout>
                  <c:x val="2.0833333333333412E-2"/>
                  <c:y val="1.1111111111111141E-2"/>
                </c:manualLayout>
              </c:layout>
              <c:spPr>
                <a:noFill/>
                <a:ln w="18822">
                  <a:noFill/>
                </a:ln>
              </c:spPr>
              <c:txPr>
                <a:bodyPr/>
                <a:lstStyle/>
                <a:p>
                  <a:pPr>
                    <a:defRPr/>
                  </a:pPr>
                  <a:endParaRPr lang="uk-UA"/>
                </a:p>
              </c:txPr>
              <c:dLblPos val="outEnd"/>
              <c:showVal val="1"/>
            </c:dLbl>
            <c:dLbl>
              <c:idx val="1"/>
              <c:layout>
                <c:manualLayout>
                  <c:x val="1.6203703703703727E-2"/>
                  <c:y val="3.7037037037037216E-3"/>
                </c:manualLayout>
              </c:layout>
              <c:spPr>
                <a:noFill/>
                <a:ln w="18822">
                  <a:noFill/>
                </a:ln>
              </c:spPr>
              <c:txPr>
                <a:bodyPr/>
                <a:lstStyle/>
                <a:p>
                  <a:pPr>
                    <a:defRPr/>
                  </a:pPr>
                  <a:endParaRPr lang="uk-UA"/>
                </a:p>
              </c:txPr>
              <c:dLblPos val="outEnd"/>
              <c:showVal val="1"/>
            </c:dLbl>
            <c:dLbl>
              <c:idx val="2"/>
              <c:layout>
                <c:manualLayout>
                  <c:x val="1.6211753807590743E-2"/>
                  <c:y val="1.3468013468013481E-2"/>
                </c:manualLayout>
              </c:layout>
              <c:spPr>
                <a:noFill/>
                <a:ln w="18822">
                  <a:noFill/>
                </a:ln>
              </c:spPr>
              <c:txPr>
                <a:bodyPr/>
                <a:lstStyle/>
                <a:p>
                  <a:pPr>
                    <a:defRPr/>
                  </a:pPr>
                  <a:endParaRPr lang="uk-UA"/>
                </a:p>
              </c:txPr>
              <c:dLblPos val="outEnd"/>
              <c:showVal val="1"/>
            </c:dLbl>
            <c:dLbl>
              <c:idx val="3"/>
              <c:layout>
                <c:manualLayout>
                  <c:x val="1.8518518518518583E-2"/>
                  <c:y val="0"/>
                </c:manualLayout>
              </c:layout>
              <c:spPr>
                <a:noFill/>
                <a:ln w="18822">
                  <a:noFill/>
                </a:ln>
              </c:spPr>
              <c:txPr>
                <a:bodyPr/>
                <a:lstStyle/>
                <a:p>
                  <a:pPr>
                    <a:defRPr/>
                  </a:pPr>
                  <a:endParaRPr lang="uk-UA"/>
                </a:p>
              </c:txPr>
              <c:dLblPos val="outEnd"/>
              <c:showVal val="1"/>
            </c:dLbl>
            <c:spPr>
              <a:noFill/>
              <a:ln w="18822">
                <a:noFill/>
              </a:ln>
            </c:spPr>
            <c:showVal val="1"/>
          </c:dLbls>
          <c:cat>
            <c:strRef>
              <c:f>Аркуш1!$A$2:$A$5</c:f>
              <c:strCache>
                <c:ptCount val="4"/>
                <c:pt idx="0">
                  <c:v>металургія</c:v>
                </c:pt>
                <c:pt idx="1">
                  <c:v>машинобудування</c:v>
                </c:pt>
                <c:pt idx="2">
                  <c:v>хімічна</c:v>
                </c:pt>
                <c:pt idx="3">
                  <c:v>промисловість всього</c:v>
                </c:pt>
              </c:strCache>
            </c:strRef>
          </c:cat>
          <c:val>
            <c:numRef>
              <c:f>Аркуш1!$D$2:$D$5</c:f>
              <c:numCache>
                <c:formatCode>General</c:formatCode>
                <c:ptCount val="4"/>
                <c:pt idx="0">
                  <c:v>86.6</c:v>
                </c:pt>
                <c:pt idx="1">
                  <c:v>100.3</c:v>
                </c:pt>
                <c:pt idx="2">
                  <c:v>89.2</c:v>
                </c:pt>
                <c:pt idx="3">
                  <c:v>94.8</c:v>
                </c:pt>
              </c:numCache>
            </c:numRef>
          </c:val>
        </c:ser>
        <c:ser>
          <c:idx val="3"/>
          <c:order val="3"/>
          <c:tx>
            <c:strRef>
              <c:f>Аркуш1!$E$1</c:f>
              <c:strCache>
                <c:ptCount val="1"/>
                <c:pt idx="0">
                  <c:v>2009</c:v>
                </c:pt>
              </c:strCache>
            </c:strRef>
          </c:tx>
          <c:spPr>
            <a:pattFill prst="horzBrick">
              <a:fgClr>
                <a:srgbClr val="000000"/>
              </a:fgClr>
              <a:bgClr>
                <a:srgbClr val="FFFFFF"/>
              </a:bgClr>
            </a:pattFill>
            <a:ln w="9411">
              <a:solidFill>
                <a:srgbClr val="000000"/>
              </a:solidFill>
              <a:prstDash val="solid"/>
            </a:ln>
          </c:spPr>
          <c:dLbls>
            <c:dLbl>
              <c:idx val="0"/>
              <c:layout>
                <c:manualLayout>
                  <c:x val="1.6203703703703727E-2"/>
                  <c:y val="3.7037037037037216E-3"/>
                </c:manualLayout>
              </c:layout>
              <c:spPr>
                <a:noFill/>
                <a:ln w="18822">
                  <a:noFill/>
                </a:ln>
              </c:spPr>
              <c:txPr>
                <a:bodyPr/>
                <a:lstStyle/>
                <a:p>
                  <a:pPr>
                    <a:defRPr/>
                  </a:pPr>
                  <a:endParaRPr lang="uk-UA"/>
                </a:p>
              </c:txPr>
              <c:dLblPos val="outEnd"/>
              <c:showVal val="1"/>
            </c:dLbl>
            <c:dLbl>
              <c:idx val="1"/>
              <c:layout>
                <c:manualLayout>
                  <c:x val="3.0092592592592591E-2"/>
                  <c:y val="0"/>
                </c:manualLayout>
              </c:layout>
              <c:spPr>
                <a:noFill/>
                <a:ln w="18822">
                  <a:noFill/>
                </a:ln>
              </c:spPr>
              <c:txPr>
                <a:bodyPr/>
                <a:lstStyle/>
                <a:p>
                  <a:pPr>
                    <a:defRPr/>
                  </a:pPr>
                  <a:endParaRPr lang="uk-UA"/>
                </a:p>
              </c:txPr>
              <c:dLblPos val="outEnd"/>
              <c:showVal val="1"/>
            </c:dLbl>
            <c:dLbl>
              <c:idx val="2"/>
              <c:layout>
                <c:manualLayout>
                  <c:x val="2.0833333333333297E-2"/>
                  <c:y val="3.7037037037037216E-3"/>
                </c:manualLayout>
              </c:layout>
              <c:spPr>
                <a:noFill/>
                <a:ln w="18822">
                  <a:noFill/>
                </a:ln>
              </c:spPr>
              <c:txPr>
                <a:bodyPr/>
                <a:lstStyle/>
                <a:p>
                  <a:pPr>
                    <a:defRPr/>
                  </a:pPr>
                  <a:endParaRPr lang="uk-UA"/>
                </a:p>
              </c:txPr>
              <c:dLblPos val="outEnd"/>
              <c:showVal val="1"/>
            </c:dLbl>
            <c:dLbl>
              <c:idx val="3"/>
              <c:layout>
                <c:manualLayout>
                  <c:x val="1.3888888888888963E-2"/>
                  <c:y val="1.1111111111111141E-2"/>
                </c:manualLayout>
              </c:layout>
              <c:spPr>
                <a:noFill/>
                <a:ln w="18822">
                  <a:noFill/>
                </a:ln>
              </c:spPr>
              <c:txPr>
                <a:bodyPr/>
                <a:lstStyle/>
                <a:p>
                  <a:pPr>
                    <a:defRPr/>
                  </a:pPr>
                  <a:endParaRPr lang="uk-UA"/>
                </a:p>
              </c:txPr>
              <c:dLblPos val="outEnd"/>
              <c:showVal val="1"/>
            </c:dLbl>
            <c:spPr>
              <a:noFill/>
              <a:ln w="18822">
                <a:noFill/>
              </a:ln>
            </c:spPr>
            <c:showVal val="1"/>
          </c:dLbls>
          <c:cat>
            <c:strRef>
              <c:f>Аркуш1!$A$2:$A$5</c:f>
              <c:strCache>
                <c:ptCount val="4"/>
                <c:pt idx="0">
                  <c:v>металургія</c:v>
                </c:pt>
                <c:pt idx="1">
                  <c:v>машинобудування</c:v>
                </c:pt>
                <c:pt idx="2">
                  <c:v>хімічна</c:v>
                </c:pt>
                <c:pt idx="3">
                  <c:v>промисловість всього</c:v>
                </c:pt>
              </c:strCache>
            </c:strRef>
          </c:cat>
          <c:val>
            <c:numRef>
              <c:f>Аркуш1!$E$2:$E$5</c:f>
              <c:numCache>
                <c:formatCode>General</c:formatCode>
                <c:ptCount val="4"/>
                <c:pt idx="0">
                  <c:v>74.8</c:v>
                </c:pt>
                <c:pt idx="1">
                  <c:v>55.1</c:v>
                </c:pt>
                <c:pt idx="2">
                  <c:v>77.3</c:v>
                </c:pt>
                <c:pt idx="3">
                  <c:v>78.099999999999994</c:v>
                </c:pt>
              </c:numCache>
            </c:numRef>
          </c:val>
        </c:ser>
        <c:axId val="93306240"/>
        <c:axId val="102942208"/>
      </c:barChart>
      <c:catAx>
        <c:axId val="93306240"/>
        <c:scaling>
          <c:orientation val="minMax"/>
        </c:scaling>
        <c:axPos val="b"/>
        <c:title>
          <c:tx>
            <c:rich>
              <a:bodyPr/>
              <a:lstStyle/>
              <a:p>
                <a:pPr>
                  <a:defRPr sz="815" b="1" i="0" u="none" strike="noStrike" baseline="0">
                    <a:solidFill>
                      <a:srgbClr val="000000"/>
                    </a:solidFill>
                    <a:latin typeface="Calibri"/>
                    <a:ea typeface="Calibri"/>
                    <a:cs typeface="Calibri"/>
                  </a:defRPr>
                </a:pPr>
                <a:r>
                  <a:rPr lang="uk-UA"/>
                  <a:t>галузі промисловості </a:t>
                </a:r>
              </a:p>
            </c:rich>
          </c:tx>
          <c:layout>
            <c:manualLayout>
              <c:xMode val="edge"/>
              <c:yMode val="edge"/>
              <c:x val="0.48330683624801335"/>
              <c:y val="0.86626139817629177"/>
            </c:manualLayout>
          </c:layout>
          <c:spPr>
            <a:noFill/>
            <a:ln w="18822">
              <a:noFill/>
            </a:ln>
          </c:spPr>
        </c:title>
        <c:numFmt formatCode="General" sourceLinked="1"/>
        <c:tickLblPos val="nextTo"/>
        <c:spPr>
          <a:ln w="2353">
            <a:solidFill>
              <a:srgbClr val="000000"/>
            </a:solidFill>
            <a:prstDash val="solid"/>
          </a:ln>
        </c:spPr>
        <c:txPr>
          <a:bodyPr rot="0" vert="horz"/>
          <a:lstStyle/>
          <a:p>
            <a:pPr>
              <a:defRPr sz="889" b="0" i="0" u="none" strike="noStrike" baseline="0">
                <a:solidFill>
                  <a:srgbClr val="000000"/>
                </a:solidFill>
                <a:latin typeface="Calibri"/>
                <a:ea typeface="Calibri"/>
                <a:cs typeface="Calibri"/>
              </a:defRPr>
            </a:pPr>
            <a:endParaRPr lang="uk-UA"/>
          </a:p>
        </c:txPr>
        <c:crossAx val="102942208"/>
        <c:crosses val="autoZero"/>
        <c:auto val="1"/>
        <c:lblAlgn val="ctr"/>
        <c:lblOffset val="100"/>
      </c:catAx>
      <c:valAx>
        <c:axId val="102942208"/>
        <c:scaling>
          <c:orientation val="minMax"/>
        </c:scaling>
        <c:axPos val="l"/>
        <c:majorGridlines>
          <c:spPr>
            <a:ln w="2353">
              <a:solidFill>
                <a:srgbClr val="000000"/>
              </a:solidFill>
              <a:prstDash val="solid"/>
            </a:ln>
          </c:spPr>
        </c:majorGridlines>
        <c:title>
          <c:tx>
            <c:rich>
              <a:bodyPr/>
              <a:lstStyle/>
              <a:p>
                <a:pPr>
                  <a:defRPr sz="815" b="1" i="0" u="none" strike="noStrike" baseline="0">
                    <a:solidFill>
                      <a:srgbClr val="000000"/>
                    </a:solidFill>
                    <a:latin typeface="Calibri"/>
                    <a:ea typeface="Calibri"/>
                    <a:cs typeface="Calibri"/>
                  </a:defRPr>
                </a:pPr>
                <a:r>
                  <a:rPr lang="uk-UA"/>
                  <a:t>відсотки</a:t>
                </a:r>
              </a:p>
            </c:rich>
          </c:tx>
          <c:layout>
            <c:manualLayout>
              <c:xMode val="edge"/>
              <c:yMode val="edge"/>
              <c:x val="0"/>
              <c:y val="0.34650455927051682"/>
            </c:manualLayout>
          </c:layout>
          <c:spPr>
            <a:noFill/>
            <a:ln w="18822">
              <a:noFill/>
            </a:ln>
          </c:spPr>
        </c:title>
        <c:numFmt formatCode="General" sourceLinked="1"/>
        <c:tickLblPos val="low"/>
        <c:spPr>
          <a:ln w="2353">
            <a:solidFill>
              <a:srgbClr val="000000"/>
            </a:solidFill>
            <a:prstDash val="solid"/>
          </a:ln>
        </c:spPr>
        <c:crossAx val="93306240"/>
        <c:crosses val="autoZero"/>
        <c:crossBetween val="between"/>
      </c:valAx>
    </c:plotArea>
    <c:legend>
      <c:legendPos val="r"/>
      <c:legendEntry>
        <c:idx val="0"/>
        <c:txPr>
          <a:bodyPr/>
          <a:lstStyle/>
          <a:p>
            <a:pPr>
              <a:defRPr sz="815" b="0" i="0" u="none" strike="noStrike" baseline="0">
                <a:solidFill>
                  <a:srgbClr val="000000"/>
                </a:solidFill>
                <a:latin typeface="Calibri"/>
                <a:ea typeface="Calibri"/>
                <a:cs typeface="Calibri"/>
              </a:defRPr>
            </a:pPr>
            <a:endParaRPr lang="uk-UA"/>
          </a:p>
        </c:txPr>
      </c:legendEntry>
      <c:legendEntry>
        <c:idx val="1"/>
        <c:txPr>
          <a:bodyPr/>
          <a:lstStyle/>
          <a:p>
            <a:pPr>
              <a:defRPr sz="815" b="0" i="0" u="none" strike="noStrike" baseline="0">
                <a:solidFill>
                  <a:srgbClr val="000000"/>
                </a:solidFill>
                <a:latin typeface="Calibri"/>
                <a:ea typeface="Calibri"/>
                <a:cs typeface="Calibri"/>
              </a:defRPr>
            </a:pPr>
            <a:endParaRPr lang="uk-UA"/>
          </a:p>
        </c:txPr>
      </c:legendEntry>
      <c:legendEntry>
        <c:idx val="2"/>
        <c:txPr>
          <a:bodyPr/>
          <a:lstStyle/>
          <a:p>
            <a:pPr>
              <a:defRPr sz="815" b="0" i="0" u="none" strike="noStrike" baseline="0">
                <a:solidFill>
                  <a:srgbClr val="000000"/>
                </a:solidFill>
                <a:latin typeface="Calibri"/>
                <a:ea typeface="Calibri"/>
                <a:cs typeface="Calibri"/>
              </a:defRPr>
            </a:pPr>
            <a:endParaRPr lang="uk-UA"/>
          </a:p>
        </c:txPr>
      </c:legendEntry>
      <c:legendEntry>
        <c:idx val="3"/>
        <c:txPr>
          <a:bodyPr/>
          <a:lstStyle/>
          <a:p>
            <a:pPr>
              <a:defRPr sz="815" b="0" i="0" u="none" strike="noStrike" baseline="0">
                <a:solidFill>
                  <a:srgbClr val="000000"/>
                </a:solidFill>
                <a:latin typeface="Calibri"/>
                <a:ea typeface="Calibri"/>
                <a:cs typeface="Calibri"/>
              </a:defRPr>
            </a:pPr>
            <a:endParaRPr lang="uk-UA"/>
          </a:p>
        </c:txPr>
      </c:legendEntry>
      <c:layout>
        <c:manualLayout>
          <c:xMode val="edge"/>
          <c:yMode val="edge"/>
          <c:x val="4.7694753577106523E-3"/>
          <c:y val="0.88753799392097188"/>
          <c:w val="0.42766295707472241"/>
          <c:h val="7.29483282674772E-2"/>
        </c:manualLayout>
      </c:layout>
      <c:spPr>
        <a:ln cap="rnd">
          <a:solidFill>
            <a:prstClr val="black"/>
          </a:solidFill>
        </a:ln>
        <a:effectLst/>
      </c:spPr>
      <c:txPr>
        <a:bodyPr/>
        <a:lstStyle/>
        <a:p>
          <a:pPr>
            <a:defRPr sz="952" b="0" i="0" u="none" strike="noStrike" baseline="0">
              <a:solidFill>
                <a:srgbClr val="000000"/>
              </a:solidFill>
              <a:latin typeface="Calibri"/>
              <a:ea typeface="Calibri"/>
              <a:cs typeface="Calibri"/>
            </a:defRPr>
          </a:pPr>
          <a:endParaRPr lang="uk-UA"/>
        </a:p>
      </c:txPr>
    </c:legend>
    <c:plotVisOnly val="1"/>
    <c:dispBlanksAs val="gap"/>
  </c:chart>
  <c:spPr>
    <a:ln>
      <a:solidFill>
        <a:schemeClr val="tx1"/>
      </a:solidFill>
      <a:miter lim="800000"/>
    </a:ln>
  </c:spPr>
  <c:externalData r:id="rId2"/>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9C9C-2F69-47B7-8AA0-92523E95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14491</Words>
  <Characters>8261</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2011-03-22T18:41:00Z</cp:lastPrinted>
  <dcterms:created xsi:type="dcterms:W3CDTF">2011-03-28T14:14:00Z</dcterms:created>
  <dcterms:modified xsi:type="dcterms:W3CDTF">2011-03-29T18:20:00Z</dcterms:modified>
</cp:coreProperties>
</file>